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A94" w:rsidRDefault="00F55A94" w:rsidP="00F55A94">
      <w:pPr>
        <w:tabs>
          <w:tab w:val="left" w:pos="2410"/>
        </w:tabs>
        <w:spacing w:line="360" w:lineRule="exact"/>
        <w:rPr>
          <w:rFonts w:ascii="Courier New" w:hAnsi="Courier New" w:cs="Courier New"/>
          <w:sz w:val="24"/>
          <w:szCs w:val="24"/>
          <w:lang w:val="hu-HU"/>
        </w:rPr>
      </w:pPr>
      <w:bookmarkStart w:id="0" w:name="_GoBack"/>
      <w:bookmarkEnd w:id="0"/>
      <w:r w:rsidRPr="00684130">
        <w:rPr>
          <w:rFonts w:ascii="Courier New" w:hAnsi="Courier New" w:cs="Courier New"/>
          <w:sz w:val="24"/>
          <w:szCs w:val="24"/>
          <w:lang w:val="hu-HU"/>
        </w:rPr>
        <w:t xml:space="preserve">Az Európai Unió egyik figyelemre méltó találmánya az elmúlt fél évszázad során egy hatalmas, határok nélküli térség létrehozása volt, amelyben az emberek úgy mozoghatnak, hogy nem akadályozzák őket határellenőrzések. Az Európai Unió polgárai szabadon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választhatják meg azt is, hogy az Unió melyik országában kívánnak élni és dolgozni. Ahhoz azonban, hogy ezt a szabadságot teljes mértékben élvezhessék, az Európai Uniónak hatékonyan kell igazgatnia a külső határait. A nemzeti igazságügyi hatóságoknak és rendőri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szerveknek is szorosan együtt kell dolgozniuk annak biztosítására, hogy az emberek az Unióban mindenütt egyenlő védelemben részesüljenek a bűnözéssel szemben, egyenlő igazságszolgáltatáshoz való joggal rendelkezzenek, és teljes mértékben gyakorolhassák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jogaikat. Az Európai Unió egy koordináltabb menedékjogi és bevándorlási politikát alakít ki, hogy a menedékjogot kérelmező személyekkel egyformán méltányosan bánjanak, és hogy a legális bevándorlók, akikre az Európai Uniónak szüksége van, integrálódjanak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az európai társadalmakba. Ugyancsak fellép a visszaélések megelőzéséért, és küzd az illegális bevándorlás ellen. Továbbá, egy globalizált világban, az uniós országok csak együtt léphetnek fel eredményesen a nemzetközi bűnözés és terrorizmus ellen.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Mindez garantálni fogja, hogy az Európai Unió valóban mindenki számára a szabadság, biztonság és igazságosság egységes térsége legyen. Az Európai Unió által a polgárai számára teremtett előnyök között található az a jog, miszerint a polgárok szabadon mozoghatnak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Európai Unióban, és hogy - választásuk szerint - bármely uniós országban élhetnek és dolgozhatnak. Ahhoz azonban, hogy teljes mértékben élhessenek ezzel a lehetőséggel, a polgároknak tudatában kell lenniük annak, hogy - védve a bűnözéstől -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biztonságban élhetik mindennapi életüket, és intézhetik ügyeiket, valamint egyenlő joguk van az igazságszolgáltatáshoz fordulni, bárhol is tartózkodnak az Európai Unióban. Ezt a kihívást már felismerték a Maastrichti Szerződés (1992) megkötésekor, de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Európai Unió vezetői a kérdéssel csak 1999 októberében, a tamperei </w:t>
      </w:r>
      <w:r>
        <w:rPr>
          <w:rFonts w:ascii="Courier New" w:hAnsi="Courier New" w:cs="Courier New"/>
          <w:sz w:val="24"/>
          <w:szCs w:val="24"/>
          <w:lang w:val="hu-HU"/>
        </w:rPr>
        <w:t>(</w:t>
      </w:r>
      <w:r w:rsidRPr="00684130">
        <w:rPr>
          <w:rFonts w:ascii="Courier New" w:hAnsi="Courier New" w:cs="Courier New"/>
          <w:sz w:val="24"/>
          <w:szCs w:val="24"/>
          <w:lang w:val="hu-HU"/>
        </w:rPr>
        <w:t xml:space="preserve">finnországi) különleges csúcstalálkozón birkóztak meg. Meghatározott lépések sorában állapodtak meg annak érdekében, hogy az Uniót "a szabadságon, a biztonságon és a jog érvényesülésén alapuló egységes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térséggé" tegyék. Ez Európa polgárainak alapvető jogaik garantálását, az Európában törvényesen letelepedett nem európai uniós polgároknak pedig a méltányos bánásmód biztosítását jelenti. Ugyancsak összehangolt politikát jelent a menedékjog és a bevándorlás kapcsán, a vízumok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kiadásával és az Európai Unió külső határainak igazgatásával. A gyakorlatban ez magában foglalja a nemzeti rendőri szervek, a vám- és bevándorlási tisztviselők és a bíróságok szoros együttműködését. A szabadságot és az igazságosságot az európaiak nagyra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értékelik, és ezek egyben az Európai Unió alapkövei. Az Európai Unió országai szilárdan elkötelezettek a demokrácia, az emberi jogok tiszteletben tartása és a törvények érvényre juttatása mellett. De a szabadságot és az igazságosságot teljes egészében csak biztonságos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környezetben lehet élvezni. Ez az, amiért most az Európai Unió kormányai eltökéltek a szabadság, a biztonság és az igazságosság garantálásában az Unió határain belül mindenki számára. A szabadság nem csupán a személyes mobilitásról szól: ez bizonyos alapvető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jogok meglétét is jelenti. Például a szabadsághoz és biztonsághoz való jog</w:t>
      </w:r>
      <w:r w:rsidR="00742987">
        <w:rPr>
          <w:rFonts w:ascii="Courier New" w:hAnsi="Courier New" w:cs="Courier New"/>
          <w:sz w:val="24"/>
          <w:szCs w:val="24"/>
          <w:lang w:val="hu-HU"/>
        </w:rPr>
        <w:t>,</w:t>
      </w:r>
      <w:r w:rsidRPr="00684130">
        <w:rPr>
          <w:rFonts w:ascii="Courier New" w:hAnsi="Courier New" w:cs="Courier New"/>
          <w:sz w:val="24"/>
          <w:szCs w:val="24"/>
          <w:lang w:val="hu-HU"/>
        </w:rPr>
        <w:t xml:space="preserve"> egyenlőség a törvények előtt</w:t>
      </w:r>
      <w:r w:rsidR="00742987">
        <w:rPr>
          <w:rFonts w:ascii="Courier New" w:hAnsi="Courier New" w:cs="Courier New"/>
          <w:sz w:val="24"/>
          <w:szCs w:val="24"/>
          <w:lang w:val="hu-HU"/>
        </w:rPr>
        <w:t>,</w:t>
      </w:r>
      <w:r w:rsidRPr="00684130">
        <w:rPr>
          <w:rFonts w:ascii="Courier New" w:hAnsi="Courier New" w:cs="Courier New"/>
          <w:sz w:val="24"/>
          <w:szCs w:val="24"/>
          <w:lang w:val="hu-HU"/>
        </w:rPr>
        <w:t xml:space="preserve"> gondolati-, szólás- és tájékozódási szabadság</w:t>
      </w:r>
      <w:r w:rsidR="00742987">
        <w:rPr>
          <w:rFonts w:ascii="Courier New" w:hAnsi="Courier New" w:cs="Courier New"/>
          <w:sz w:val="24"/>
          <w:szCs w:val="24"/>
          <w:lang w:val="hu-HU"/>
        </w:rPr>
        <w:t>,</w:t>
      </w:r>
      <w:r w:rsidRPr="00684130">
        <w:rPr>
          <w:rFonts w:ascii="Courier New" w:hAnsi="Courier New" w:cs="Courier New"/>
          <w:sz w:val="24"/>
          <w:szCs w:val="24"/>
          <w:lang w:val="hu-HU"/>
        </w:rPr>
        <w:t xml:space="preserve"> jog a felelősségteljes kormányzáshoz</w:t>
      </w:r>
      <w:r w:rsidR="00742987">
        <w:rPr>
          <w:rFonts w:ascii="Courier New" w:hAnsi="Courier New" w:cs="Courier New"/>
          <w:sz w:val="24"/>
          <w:szCs w:val="24"/>
          <w:lang w:val="hu-HU"/>
        </w:rPr>
        <w:t>,</w:t>
      </w:r>
      <w:r w:rsidRPr="00684130">
        <w:rPr>
          <w:rFonts w:ascii="Courier New" w:hAnsi="Courier New" w:cs="Courier New"/>
          <w:sz w:val="24"/>
          <w:szCs w:val="24"/>
          <w:lang w:val="hu-HU"/>
        </w:rPr>
        <w:t xml:space="preserve"> és az európai uniós intézmények kötelezettsége a személyeknek okozott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esetleges károk jóvátételére. Ezek a jogok mindenkire vonatkoznak, aki az Európai Unióban törvényesen él, függetlenül attól, hogy uniós polgár vagy sem. A 2000-ben elfogadott alapjogi charta egyértelműen és egyetlen dokumentumban lefekteti az Európai Unió népei által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élvezett személyes, polgári, politikai, gazdasági és szociális jogokat. A chartát magában fogja foglalni az új európai uniós alkotmány, és törvényes mérceként fog szolgálni az egyének jogainak megítélésében és garantálásában. Az Európai Unióhoz csatlakozni kívánó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országoknak is el kell kötelezniük magukat az emberi és az alapvető jogok védelmére, ilyen magas szintű előírások mellett. Sőt, ez az egyik kritérium, amelynek meg kell felelni, még mielőtt a csatlakozási tárgyalásokat megkezdhetnék. Továbbá, ha bármely uniós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ország súlyosan és folytonosan megszegi ezeket a jogokat, vagy valószínű, hogy ezt megteszi, szankciókkal nézhet szembe. Például az EU-üléseken a szavazati jogát felfüggeszthetik, így megtagadva ettől az országtól a beleszólást a javasolt európai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politikákba és jogszabályokba, és elvágva az ország hozzáférését az uniós pénzekhez. Az Unió eddig sohasem tett ilyen intézkedést. 2004 májusa óta Ciprus, a Cseh Köztársaság, Észtország, Magyarország, Lettország, Litvánia, Málta, Lengyelország, Szlovákia és Szlovénia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az Európai Unió legújabb tagjai. A közelmúlt történelme során ezek közül az országok közül sokan keményen megküzdöttek a szabadságért, biztonságért és igazságosságért, és mindannyian becsben tartják ezeket a fontos elveket. Uniós tagállamként az Európai Unió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jogszabályait alkalmazzák "bel- és igazságügyi" téren. Ezek az emberi jogok tiszteletén, az átláthatóságon és a felelősségteljes kormányzás alapelvein nyugszanak. Az új tagállamok olyan közös célokhoz is csatlakoznak, mint a bírósági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határozatok kölcsönös elismerése, közös bevándorlási és menekültpolitikák, valamint az igazságügyi és rendőrségi együttműködés javítása. Azáltal, hogy ezt teszik, az új tagállamok megerősítik a bizalmat mind saját polgáraik, mind a többi európai uniós ország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polgárai körében a bírói testületeik, rendőrségeik és határőrségeik iránt. Az európai uniós polgárság nem lép a nemzeti állampolgárság helyébe, hanem kiegészíti azt. Másképpen megfogalmazva: az uniós polgárság további jogokkal és kötelezettségekkel szolgál. Ön megteheti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például, hogy szavaz, vagy jelöltként indul az európai parlamenti választásokon a lakóhelye szerinti európai uniós tagországban, attól függetlenül, hogy az az Ön hazája vagy sem. Az uniós polgárság szintén felhatalmazza, hogy szabadon utazzon az Unión belül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(amennyiben magával viszi az útlevelét vagy személyazonosító igazolványát), és hogy letelepedjen bárhol az Unió területén belül. A mai napig körülbelül ötmillió ember élt ezzel a joggal, és költözött el egy másik uniós országba, nem beszélve azokról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milliókról, akik nap mint nap szomszédos országokban dolgoznak, vagy akik tanulmányaik egy részének elvégzése során kiutaznak külföldre. A polgárság kötelezettséggel is jár: ha egy európai uniós polgár egy másik európai uniós országban akar élni,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bizonyítania kell, hogy van munkája, vagy hogy van elegendő forrása ahhoz, hogy ne jelentsen terhet új országa társadalombiztosítási rendszerére nézve, valamint hogy van egészségügyi biztosítása. Zökkenők még előfordulnak, és az embereknek néha hosszú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közigazgatási eljárásokkal kell szembenézniük a tartózkodási okmányok beszerzésekor vagy a családtagok jogainak érvényesítésekor, különösen, ha azok nem európai uniós polgárok. E nehézségek leküzdésére az Európai Bizottság a meglévő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jogszabályok egyszerűsítésére és frissítésére terveket terjesztett elő, hogy könnyebbé tegye az uniós polgárok és családjaik számára az elköltözést egy másik európai uniós országba. A szabad mozgásról az Európai Unió az alapszerződéseiben példátlan gonddal rendelkezik, de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mindez gyakorlati valósággá csak akkor vált, amikor a schengeni térség létrejött. Ez a határok nélküli zóna az eredeti megállapodás aláírásának helyéül szolgáló luxemburgi város nevét viseli. Jelenleg nem vonatkozik az Egyesült Királyságra, Írországra vagy az új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tagállamokra, bár két nem uniós tagország – Norvégia és Izland – részt vesz benne. A Schengeni Egyezmény ma már az Európai Unió alapszerződéseinek szerves része. A schengeni térségen belül az uniós lakosok és látogatók kedvük szerint szabadon utazhatnak rendszeres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útlevélvizsgálat nélkül. Azonban a személyektől kérhetik a személyazonosságuk igazolását, valamint rendkívüli körülmények esetére a tagállamok korlátozott időre fenntartják a határellenőrzés visszaállításának a jogát. A belső határok ellenőrzésének megszüntetése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könnyebbé teszi a törvénytisztelő polgárok számára a szabad mozgást Európában. Sajnos ugyanez vonatkozik a bűnözőkre és terroristákra. A Schengeni Egyezmény ezért intézkedéseket vezetett be, például a nemzeti rendőri szervek és az igazságügyi hatóságok közötti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együttműködést a bűnözés elleni küzdelemben. Ugyancsak emiatt a tagállamoknak nagyobb a felelősségük a </w:t>
      </w:r>
      <w:r w:rsidRPr="00684130">
        <w:rPr>
          <w:rFonts w:ascii="Courier New" w:hAnsi="Courier New" w:cs="Courier New"/>
          <w:iCs/>
          <w:sz w:val="24"/>
          <w:szCs w:val="24"/>
          <w:lang w:val="hu-HU"/>
        </w:rPr>
        <w:t xml:space="preserve">külső </w:t>
      </w:r>
      <w:r w:rsidRPr="00684130">
        <w:rPr>
          <w:rFonts w:ascii="Courier New" w:hAnsi="Courier New" w:cs="Courier New"/>
          <w:sz w:val="24"/>
          <w:szCs w:val="24"/>
          <w:lang w:val="hu-HU"/>
        </w:rPr>
        <w:t xml:space="preserve">határaik ellenőrzésében. Csak ezeken a helyeken végeznek rendszeres ellenőrzést a tekintetben, hogy ki lép be az Európai Unió területére, illetve ki hagyja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el azt. A külső határok nemcsak szárazföldi átkelőhelyek, hanem nemzetközi repülőterek, tengeri kikötők és néhány vasúti pályaudvar is, amelyek most már belépési pontot jelentenek az Európai Unió egészébe. Írország és az Egyesült Királyság nem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alkalmazza a határellenőrzésről szóló schengeni rendelkezéseket: továbbra is mindenkinek, aki belép a területükre, ellenőrzik a személyazonosságát, kivéve azokat, akik egymás területeiről érkeztek. Azonban ez nem érinti az uniós polgárok azon jogát,</w:t>
      </w:r>
      <w:r>
        <w:rPr>
          <w:rFonts w:ascii="Courier New" w:hAnsi="Courier New" w:cs="Courier New"/>
          <w:sz w:val="24"/>
          <w:szCs w:val="24"/>
          <w:lang w:val="hu-HU"/>
        </w:rPr>
        <w:t xml:space="preserve"> </w:t>
      </w:r>
      <w:r w:rsidRPr="00684130">
        <w:rPr>
          <w:rFonts w:ascii="Courier New" w:hAnsi="Courier New" w:cs="Courier New"/>
          <w:sz w:val="24"/>
          <w:szCs w:val="24"/>
          <w:lang w:val="hu-HU"/>
        </w:rPr>
        <w:t xml:space="preserve">hogy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beutazzanak és éljenek ezekben a tagállamokban. Mindenkinek, aki az Európai Unióban él, az egyik országból a másikba szabadon kell tudnia mozogni, és azt megválasztani, hogy hol él – függetlenül attól, hogy valamelyik tagállam állampolgára vagy máshonnan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származó törvényes bevándorló. A nem európai uniós országokból származó látogatók beléphetnek a schengeni térségbe, és abban legfeljebb három hónapig szabadon utazhatnak, amennyiben bizonyos feltételeket teljesítenek. Nevezetesen rendelkezniük kell érvényes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úti okmánnyal, meg kell tudniuk magyarázni a látogatásuk okát, és elegendő pénzzel kell rendelkezniük megélhetési költségeik fedezésére. Egyeseknek vízummal kell rendelkezniük, hogy beléphessenek az Európai Unió területére.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vízumszabályokat harmonizálták, és egy lista áll rendelkezésre azokról az országokról, amelyek polgárainak szüksége van vízumra. Továbbá egy nem uniós polgárnak, akinek útlevele és egy schengeni ország által kibocsátott érvényes tartózkodási engedélye van,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nincs szüksége vízumra, amikor rövid időtartamra más schengeni országba utazik. Ez jelentősen mérsékli a nem európai uniós családtagok számára a bürokratikus akadályokat. Mintegy ötmillió nem európai uniós polgár dolgozik jelenleg az Európai Unióban. Mindegyikük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rendelkezik olyan jogokkal, amelyek Unió-szerte alkalmazandóak, de a nemzeti közigazgatási szabályok és eljárások közötti különbségek néha nehézkessé teszik tényleges alkalmazásukat. Az Európai Bizottság egységes kritériumokat és biztosítékokat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akar létrehozni ezen személyek jogainak védelmére. A Bizottság a "civil polgárság" bevezetését javasolta. Ez a törvényes bevándorlóknak bizonyos alapjogokkal és kötelezettségekkel szolgálna, köztük azzal a joggal, hogy egy másik európai uniós tagállamban éljenek és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dolgozzanak. Ezeket a jogokat több év alatt szereznék meg, és végül majdnem olyan jogokkal rendelkeznének, mint az uniós polgárok. Az Unió szintén megállapodik a családegyesítő eljárásról. Ezt mind a családok összehozására, mind pedig az Európai Unióba való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integrálódásuk könnyítésére tervezték. Például ha egy nem uniós polgár egy európai uniós ország által kiadott és legalább egy évig érvényes tartózkodási engedéllyel rendelkezik, a családtagok csatlakozhatnak hozzá ebben az országban. Az Európai Unió már koordinálja a nem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uniós polgárok beléptetésének szabályait és eljárásait, valamint a tartózkodásuk feltételeit. De ennél tovább akarnak haladni. Felismerték, hogy a bevándorlók betölthetik a megüresedett állásokat, pótolhatják a szakképzettséggel rendelkezőkben fennálló hiányt, és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megfiatalíthatják Európa öregedő lakosságát. Ezért az Európai Unió segíteni akar ezeknek az embereknek, hogy teljes mértékben integrálódhassanak a gazdasági, társadalmi, kulturális és polgári élet minden szempontjából. Ez szükségessé teszi a cselekvést olyan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politikák terén, mint a foglalkoztatás, a hátrányos megkülönböztetéstől való mentesség és a társadalmi integráció. Ugyanakkor odafigyelést is jelent az oktatásra, nyelvi képzésre és a szociális és egyéb szolgáltatásokhoz való hozzáférésre. Az Európai Unió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polgárainak ahhoz, hogy a szabadságukat teljes mértékben gyakorolhassák, képeseknek kell lenniük arra, hogy bármely más tagállamban ugyanolyan könnyen fordulhassanak a bíróságokhoz és hatóságokhoz, mint a sajátjukban. Ugyanakkor meg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kell akadályozni, hogy bűnözők kihasználják a nemzeti igazságügyi rendszerek közötti különbségeket, valamint a bírósági ítéleteket tiszteletben kell tartani, és végre kell hajtani az Európai Unió egészében. Mindehhez "határokon átnyúló igazságügyi együttműködésre" van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szükség. Például Európa-szerte el kell ismernie a hatóságoknak bármely uniós országban - akár polgári, akár büntetőeljárás során - hozott jogi határozatokat. Ez az elv, melyet "kölcsönös elismerésnek" neveznek, nagymértékben kihathat az egyén személyes életére,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amikor olyasmiről van szó, mint a fenntartási igények, házasság felbontása és a gyerekek láthatása, vagy pénzügyi kérdések, mint a csőd és a kifizetetlen számlák, valamint akár a bűncselekmények. A személyes jogi problémák egyetlen joghatóságon belül is eléggé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összetettek lehetnek, és elég stresszt okozhatnak. Megoldásuk még nehezebbé válhat, ha két vagy több jogi rendszer alá tartoznak, különösen, amikor családok bomlanak fel. A határokon átnyúló igazságügyi együttműködést arra tervezték, hogy ezek közül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akadályok közül sokat elhárítson. Alapelvként nem szabad engedni, hogy a nemzeti igazságügyi és közigazgatási rendszerek összetettsége vagy összeegyeztethetetlensége megakadályozza a polgárokat és az üzleti vállalkozásokat jogaik gyakorlásában, vagy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elijessze attól. Az Európai Unió most jogszabályt fogadott el a házasság felbontásával, a különválással vagy a házasság érvénytelenítésével kapcsolatos polgári eljárások bírósági ítéleteinek kölcsönös elismeréséről. Ez még nem számol minden lehetséges helyzettel,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ezért a Bizottság a szabályok kibővítését tervezi 2005-ben. Az Európai Unió egységes eljárásokat is létrehoz a kisebb és nem megtámadott polgári követelésekre vonatkozó, határokon átnyúló jogviták rendezésének egyszerűsítésére és felgyorsítására,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valamint minimális közös szabályokat dolgozott ki a határokon átnyúló polgári jogi esetek költségmentességére. A szabad mozgás az Európai Unióban csodálatos dolog a törvénytisztelő polgárok számára. Sajnos ezt a bűnözők is kihasználják. A határokon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átnyúló bűnözés legszembetűnőbb példái a terrorizmus, a számítógépes bűnesetek, a kábítószer-csempészet és az emberkereskedelem. Ahhoz, hogy az Unió hatékonyan lépjen fel ezekkel szemben, közös politikára van szüksége büntetőügyekben. Az uniós polgároknak tudniuk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kell, hogy a bűnözők ellen büntetőeljárást lehet kezdeményezni függetlenül azok európai uniós tartózkodási helyétől vagy a bűncselekmény elkövetésének helyétől. Az igazságügyi együttműködés segítséget nyújthat azáltal, hogy bizonyos súlyos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bűncselekmények közös meghatározását adja, a különböző nemzeti jogokat egymással összehangolja, valamint arányos és visszatartó erejű, minimális szankciókat vezet be. Az Európai </w:t>
      </w:r>
      <w:r w:rsidRPr="00FA0774">
        <w:rPr>
          <w:rFonts w:ascii="Courier New" w:hAnsi="Courier New" w:cs="Courier New"/>
          <w:sz w:val="24"/>
          <w:szCs w:val="24"/>
          <w:lang w:val="hu-HU"/>
        </w:rPr>
        <w:t>Unió</w:t>
      </w:r>
      <w:r w:rsidRPr="00684130">
        <w:rPr>
          <w:rFonts w:ascii="Courier New" w:hAnsi="Courier New" w:cs="Courier New"/>
          <w:sz w:val="24"/>
          <w:szCs w:val="24"/>
          <w:lang w:val="hu-HU"/>
        </w:rPr>
        <w:t xml:space="preserve"> célja a szervezett bűnözői bandák által kihasznált joghézagok betömése: ne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maradjon menedéke azoknak, akik súlyos bűncselekményeket követnek el. A büntetés és más bírósági határozatok végrehajtása esetében lépéseket tesznek annak biztosítására, hogy az egyik tagállam bíróságainak végzéseit (pénzbírságok kiszabását, vagyon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elkobzását vagy a jogsértők bizonyos jogainak megvonását) Unió-szerte végrehajtsák. Az elv megint csak a nemzeti bíróságok határozatainak kölcsönös elismerése, annak érdekében, hogy a nemzeti jogi gyakorlatok közötti különbségek ne akadályozzák meg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 jogsértő igazságszolgáltatás elé állítását. A 2004 januárjától az Európai Unióban érvényes elfogatóparancsot azért találták ki, hogy a hosszú kiadatási eljárások helyébe lépjen. A gyanúsított vagy elítélt bűnözőket, akik külföldre szöktek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igazságszolgáltatás elől való megmenekülés érdekében, így gyorsan ki lehet szolgáltatni annak az országnak, ahol bíróság elé állították (vagy fogják állítani) őket. A parancs bárkire nézve kiadható, akit olyan bűncselekménnyel vádolnak, amelyre a minimális szankció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több mint egy év börtönbüntetés, vagy ha a személyt már legalább négy hónapra elítélték. A közelmúltban az uniós igazságügyi együttműködés egyik legjelentősebb előrelépése az Eurojust létrehozása volt 2003 áprilisában. A hágai székhelyű Eurojust az Európai Unió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minden országából származó igazságügyi tisztviselőkből és ügyészekből álló magas szintű csapat, amelynek tagjai együtt dolgoznak, ugyanabban az épületben. Közvetlenül fordulhatnak a saját hatóságaikhoz hazájukban, és tanácsokat és információkat oszthatnak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meg kollégáikkal. Az Eurojust munkája a súlyos, határokon átnyúló bűnözés utáni nyomozás és felelősségre vonás koordinálásának segítése. Szoros munkakapcsolatban áll az Europollal (az Európai Unió rendőrségi koordinációs hivatalával), az OLAF-fal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Európai Csalás Elleni Hivatallal) és az Európai Igazságügyi Hálózattal, amely a nemzeti jogi hatóságok hálózata. A bűnözők elfogása és bíróság elé állítása egy dolog csupán: a jog érvényesülésén alapuló európai térségben azt is biztosítani kell, hogy a vádlott jogai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is teljes mértékben védve legyenek. Jogi tanácsadásban és tolmács szolgáltatásban kell részesülniük, ha ez szükséges. A bizonyítékok gyűjtésének szabályszerű eljárással kell történnie, az ideiglenes szabadságelvonásnak és az ügy meghallgatásának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vádlott távollétében megállapodott szabályok szerint kell lezajlaniuk. Röviden, az Európai Uniónak meg kell állapodnia bizonyos közös minimum-igazságszolgáltatási előírásokban. Az Unió törődik a bűncselekmények áldozataival is. A 2001 márciusában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elfogadott jogszabályok nyújtanak bizonyos minimális garanciákat. Ezek közé tartozik a meghallgatáshoz való jog, a hozzáférés a vonatkozó információhoz, lehetőség a bírósági eljárásban való részvételre, a jogi költségek visszatérítése, a védelem megfelelő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szintjében való részesülés és a kártérítésben való részesülés. Európában régóta hagyománya van az olyan emberek befogadásának, akiket háború vagy üldöztetés az otthonukból való menekülésre kényszerített. Ezeknek az embereknek joguk van menedékjogot kérni, és az Európai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Unió nagy fontosságot tulajdonít annak, hogy a Genfi Egyezményt a menekültek jogállásáról tiszteletben tartsák. Az Európai Unióban védelmet kereső emberek növekvő beáramlása az 1990-es évek eleje óta közös menekültügyi politika kialakítására készteti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tagállamokat. Ezt két szakaszban érik el. Az első szakasz a minimális előírásokra és intézkedésekre vonatkozik. A második szakasz az egységes közös menekültügyi eljáráshoz és a menedékjogban részesülők EU-szerte egységes státuszához fog vezetni.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menedékjog iránti kérelmek száma az Unióban évről évre változik, és függhet attól, hogy vannak-e politikai zavargások a határai mentén (mint például a volt Jugoszláviában). Így például 1992-ben 672 000 kérelmet nyújtottak be, míg 2000-ben csak 374 000-et. Valóban,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rendkívüli körülmények között, mint például a koszovói háború alatt, különleges rendelkezések nyerhetnek teret. Menedéket kereső egész csoportok részesülhetnek azonnali és ideiglenes védelemben legfeljebb két, vagy ha ez szükséges, három évig. A menekültek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tartózkodási engedélyt, szállást, szociális jóléti és egészségügyi ellátást, a gyermekeik iskoláztatást kapnak, és joguk van munkát keresni. Hivatalosan is kérelmezhetik a menedékjogot. Az Unió vizsgálja annak módját, hogyan biztosíthatná, hogy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tagállamok egyenlően viseljék a felelősséget, amit a menedékjog kérelmezőinek ellátása jelent. Azt is fontolóra veszi, hogyan csökkentheti a várakozási időt a kérelmek hatékonyabb feldolgozásával, miközben biztosítja a kérelmezők méltányos bánásmódban való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részesülését. Szabályokat hoztak létre annak eldöntésére, hogy melyik uniós ország felelős a menedékjogi kérelem elbírálásáért (általában véve az az ország, ahová először belépett a menedékjog kérelmezője). Ez az ország felelős a kérelem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megvizsgálásáért a meghatározott uniós kritériumok szerint, és bármely kérelmező visszaszállításáért, ha az ezt követően illegálisan más célállomásra utazik az Unión belül. A rendszer hatékonysága nőtt 2003 elején az Eurodac nevű új adatbázis bevezetésével. Ez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tartalmazni fogja az Európai Unióban nyilvántartásba vett összes menedékjog-kérelmező ujjlenyomatát. A lenyomatok összevetésével a hatóságok tudni fogják, hogy egy személy kérelmezett-e már menedékjogot egy másik tagállamban. A közös menekültügyi rendszernek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egyértelmű legális bevándorlási politikával kell párosulnia, hogy az Európai Unióba törvényesen belépni kívánó gazdasági migránsokat ne csábítsa a menedékjogi út kipróbálása. Annak biztosítása, hogy emberek méltányos és törvényes módon léphessenek be az Európai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Unióba, segít megszüntetni az illegális bevándorlás okozta nyomást és az emberkereskedelmet. Az illegális bevándorlás visszaszorításában az Európai Unió külső határainak megerősítése is szerepet játszik. Ezeket a határokat számos különböző nemzeti hatóság – köztük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határőrök, rendőrségi- és vámtisztviselők – igazgatja, és több kísérleti projektet indítottak el a közöttük való együttműködés javítására. Az olyan országok, amelyek különösen hosszú tengerparttal vagy külső szárazföldi határokkal rendelkeznek,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különleges európai uniós segélyben részesülhetnek. A bővítéssel az új tagállamok az Európai Unió hosszú külső határszakaszainak ellenőrzéséért válnak felelőssé. Több új tagállam már részesül európai uniós finanszírozásban, hogy szakértelmüket, felszerelésüket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és eljárásaikat uniós szintűre fejlesszék. Amint ezt elérték, köztük és az Európai Unió többi része között a határellenőrzés megszűnik, és a szabad mozgás schengeni térsége kibővül. A közös vízumügyi információs rendszer kifejlesztése lehetővé fogja tenni a vízumkérelmek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alaposabb vizsgálatát, és erősíteni fogja a csalás elleni küzdelmet. A személyazonosítási adatokra (mint az ujjlenyomatokra, az arcfelismerésre és az írisz-szkennelésre) szükség lesz. Ezek az adatok segíthetnek az uniós polgárok okmányainak biztonságosabbá tételében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is, és az okmányokat könnyebben elfogadhatóbbakká tehetik a nem EU-országok számára. Jelenleg az illegális bevándorlók hazaküldése elsősorban nemzeti felelősség. Az Európai Bizottság azonban több együttműködést, valamint közös szabályokat és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előírásokat szeretne, nem csupán az uniós tagállamok között, hanem az Unió és azon országok között is, amelyek az illegális bevándorlás kiindulópontjai. Sok kérdéssel foglalkozni kell, mint a kitoloncolási eljárások minimumszabályainak megállapítása,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kitoloncolási határozatok kölcsönös elismerése és a szabályszerű útiokmányok biztosítása azon illegális bevándorlóknak, akiknek nincsenek saját papírjaik. Az emberek jogosan várják el az Uniótól, hogy megküzdjön a biztonságukat fenyegető veszélyekkel, és hogy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megvédje őket a terrorizmustól és a súlyos, szervezett, határokon átnyúló bűnözéstől. Ehhez szoros rendőrségi és igazságügyi együttműködésre van szükség, hogy felszámolják a bűnözők búvóhelyeit és a nem egyenes úton szerzett javaikat.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bűnszervezetek mindig kihasználják azoknak a jogi és gazdasági rendszereknek a gyengéit, amelyben működnek, az Európai Unió pedig széles teret nyújt számukra, amiben mozoghatnak. Terroristák, drogbárók, emberkereskedők, pénzmosók vagy csalók úgy működnek,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mintha nemzeti határok nem is léteznének: megtervezhetnek egy bűncselekményt az egyik országban, végrehajthatják egy másikban, és élhetnek egy harmadikban. Senki sem tudja biztosan, hogy hány kábítószer-élvező van az Európai Unióban. Csak a heroin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esetében a heroinfüggők teljes számát körülbelül egymillióra becsülik. Minden évben 7–8 000 ember hal meg illegális kábítószerektől. Különböző stratégiákat fektettek le a kábítószer által okozott számos probléma kezelésére, és egy specializálódott EU-ügynökség –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Kábítószer és Kábítószer</w:t>
      </w:r>
      <w:r>
        <w:rPr>
          <w:rFonts w:ascii="Courier New" w:hAnsi="Courier New" w:cs="Courier New"/>
          <w:sz w:val="24"/>
          <w:szCs w:val="24"/>
          <w:lang w:val="hu-HU"/>
        </w:rPr>
        <w:t>-</w:t>
      </w:r>
      <w:r w:rsidRPr="00684130">
        <w:rPr>
          <w:rFonts w:ascii="Courier New" w:hAnsi="Courier New" w:cs="Courier New"/>
          <w:sz w:val="24"/>
          <w:szCs w:val="24"/>
          <w:lang w:val="hu-HU"/>
        </w:rPr>
        <w:t xml:space="preserve">függőség Európai Megfigyelőközpontja – folyamatos információáramlást biztosít. A kábítószer-kereskedelem nem tiszteli a határokat, és a kábítószer élvezet tendenciái gyorsan terjednek. A nemzeti rendőri szervek csak úgy küzdhetik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le a kábítószerrel kapcsolatos bűnözést, ha együtt dolgoznak. A politikák meghatározói, az egészségügyi szakemberek és az oktatók eredményesebbek, ha megosztják az információikat, és az Unióra kiterjedő finanszírozást tűzik ki célnak. Az Európai Unió ezért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indította útjára a kábítószer elleni cselekvési tervet, és ezért van koordinált stratégiája a nemzeti és helyi mozgalmak támogatására. A bűnüldöző szervek együttműködnek a kereskedők elleni fellépésben és annak megelőzősében, hogy a kábítószerek az utcára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kerüljenek. Az Európai Unió világszerte együtt dolgozik országokkal, arra biztatva őket, hogy ne termesszenek olyan növényeket, amelyekből kábítószereket lehet előállítani. A szintetikus kábítószereket egyre inkább az Unión belül gyártják,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és a rendőrség sok energiát fektet az ezeket termelő üzemek felderítésére és bezárására. A közegészségügyi oldalon léteznek programok először is annak megakadályozására, hogy emberek kipróbálják a kábítószereket, vagy hogy leszoktassák őket, ha már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kipróbálták. Továbbá az olyan programok, mint a heroinélvezők tiszta tűvel való ellátása, megpróbálják csökkenteni a kábítószer-élvezettel összefüggő kockázatokat. Súlyos bűncselekmény a szexuális kizsákmányolás vagy az olcsó munkaerő céljából történő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emberkereskedelem, amely sérti az alapvető jogokat és az emberi méltóságot. Fontos jövedelemforrás a szervezett bűnözői csoportok számára, amelyek néha törvényes tevékenységet folytató vállalatok fedezékében tevékenykednek. A profitot tisztára moshatják, és arra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használhatják, hogy más bűnözői műveleteket finanszírozzanak, vagy megvesztegessenek bűnüldöző tisztviselőket. Az Európai Unió, amely 1996 óta dolgozik egy átfogó stratégián, fontos előrelépést tett 2002-ben, amikor megállapodott a kérdéses bűncselekmény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közös meghatározásáról. Ez most végrehajtás alatt áll a kibővült Európai Unió minden tagállamában, és – meghatározott körülmények esetén – a bűncselekmény minimális szankciója nyolc év szabadságvesztés. Az Európai Unió munkájában nagymértékben útmutatóként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szolgál a Brüsszeli Nyilatkozat (2002. szeptember), amely konkrét intézkedéseket, előírásokat és a legjobb gyakorlatokat ajánlja ennek az emberi nyomorral való kereskedésnek a kiirtására. A pénzmosás majdnem minden bűncselekmény része, mivel a bűncselekményből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származó jövedelmet "tisztítják", annak illegális eredetét eltitkolandó. A probléma mértéke hatalmas: a Nemzetközi Valutaalap szerint a világ bruttó hazai termékének 2–5%-át teszi ki. Az Unió több intézkedést hozott a pénzmosás visszaszorítására.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2000 végén megnyitotta az utat a nemzeti pénzügyi hírszerző egységek közötti együttműködés előtt. Ezt nem sokkal később a bűnözői vagyon és a bűncselekményből származó jövedelmek azonosításáról, felkutatásáról, befagyasztásáról és lefoglalásáról szóló jogszabályok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követték. Egy másik pénzmosásellenes jogszabály, amelyről 2001 decemberében állapodtak meg, a meghatározást úgy bővítette ki, hogy minden súlyos bűncselekményre vonatkozzon, köztük a terrorizmussal kapcsolatos bűncselekményekre is. Nemcsak bankokat és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pénzügyi intézmények</w:t>
      </w:r>
      <w:r>
        <w:rPr>
          <w:rFonts w:ascii="Courier New" w:hAnsi="Courier New" w:cs="Courier New"/>
          <w:sz w:val="24"/>
          <w:szCs w:val="24"/>
          <w:lang w:val="hu-HU"/>
        </w:rPr>
        <w:t>e</w:t>
      </w:r>
      <w:r w:rsidRPr="00684130">
        <w:rPr>
          <w:rFonts w:ascii="Courier New" w:hAnsi="Courier New" w:cs="Courier New"/>
          <w:sz w:val="24"/>
          <w:szCs w:val="24"/>
          <w:lang w:val="hu-HU"/>
        </w:rPr>
        <w:t xml:space="preserve">t érint, mint az első intézkedések, hanem könyvvizsgálókat, ügyvédeket, közjegyzőket, ingatlanügynököket, kaszinókat és azokat, akik magas értékű javakkal foglalkoznak. Most már nekik is jelenteniük kell bármilyen gyanús ügyletet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hatóságoknak. A rendőrségi és vámügyi együttműködés kulcsfontosságú része a nemzetközi bűnözés elleni küzdelemnek. Létrehozták az európai rendőrfőnökök munkacsoportját, hogy fejlesszék a kapcsolatot a különböző uniós bűnüldöző szervek vezetői között,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miközben a nemrégiben megalakult Európai Rendőrségi Főiskola (CEPOL) a felső- és középvezető tiszteknek kínál képzést az európai rendfenntartásból. A nemzeti rendőri szervek közötti együttműködés nem korlátozódik a bűnözőkkel való küzdelemre. Kiterjed a fontosabb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sporteseményekre, különösen a huliganizmus által érintett nemzetközi futballmérkőzésekre. A bűnüldöző szervek gyakran politikailag kényes helyzetben találják magukat, különösen, ha egy gyanúsítottat egy másik ország területén tovább kell üldözniük.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együttműködési megállapodások tartalmazhatják a továbbüldözés jogát, a határokon átnyúló megfigyelést, a fedett nyomozást, adatcsere-rendelkezéseket és közös különleges nyomozócsoportokat. Az egyezményt a vámigazgatási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szervek közötti kölcsönös segítségnyújtásról és együttműködésről annak biztosítására tervezték, hogy a vámtisztviselők meg tudjanak küzdeni a határon átnyúló bűncselekményekkel. A hágai székhelyű Europol lényegében egy rendőrségi koordinációs központ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információ gyűjtésére, elemzésére és megosztására, amely segíti a két vagy több európai uniós országban folyó nyomozást. Saját erőforrásai között található egy terjedelmes számítógépes adatbázis, amely segít a gyanúsított bűnözők és lopott tárgyak lenyomozásában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azáltal, hogy a bűnüldöző tisztviselőknek azonnali hozzáférést nyújt több millió közös fájlhoz. Ezt a Schengeni Információs Rendszerben tárolt elektronikus adatokkal párosítva, a rendőrség és vámhatóság most már hatalmas mennyiségű információval rendelkezik.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Europol eredeti feladata (1994-ben) a tiltott kábítószer-kereskedelem elleni nemzeti műveletek koordinálása volt. Ezt a megbízást kiterjesztették a lopott gépjárművek visszaszerzésére és az elrabolt emberek megtalálására, valamint embercsempész-</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hálózatok, nők és gyermekek szexuális kizsákmányolása, pornográfia, hamisítás, radioaktív és nukleáris anyagok csempészete, terrorizmus, pénzmosás és az euro hamisítása elleni fellépésre. A bűncselekmények napi megelőzőse nagyobbrészt a nemzeti, regionális és helyi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hatóságok ügye. Az uniós szintű általános bűnmegelőzés arra összpontosít, hogy támogassa e hatóságok fiatalkorúak által elkövetett, városi- és kábítószerrel kapcsolatos bűncselekmények elleni tevékenységét. Ezekre vezethető vissza a bűncselekmények nagy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százaléka, és ezek hatással vannak az emberek életminőségére. Az európai bűnmegelőzési hálózatot (EBH) az Európai Unió prioritásainak megállapítására, a legjobb gyakorlat kialakítására és cseréjére, valamint a különböző európai, nemzeti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és helyi kezdeményezések támogatására hozták létre. Mindannyian emlékszünk a 2001. szeptember 11-i rettenetes terrortámadásokra az Egyesült Államokban. Európa és az európaiak is voltak célpontjai terrorista merényleteknek, és megvan a közös akarat a terrorizmus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legyőzésére. Korábban néhány országnak volt meghatározott jogszabálya a terrorizmusról, míg mások a terrorista cselekedeteket közönséges bűncselekményként kezelték. A közös keretszabály ma már könnyebbé teszi a rendőri és igazságügyi együttműködést. Annak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biztosítására, hogy a terrorcselekményeket ugyanolyan módon büntessék szerte az Unióban – annak az elvnek megfelelően, hogy a büntetésnek arányosnak és visszatartó erejűnek kell lennie – a nemzeti szankciókat összehangolják. Az uniós jogszabályok ma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már számos súlyos bűncselekményt felsorolnak – mint az élet- és a testi épség elleni támadást, az emberrablást, túszejtést vagy a repülőgép-eltérítést – amelyeket terrorcselekedetnek minősítenek, amennyiben szándékosan, meghatározott terrorista céllal követték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el. Az uniós tagországok büntetőeljárást fognak indítani olyan terrorcselekedetek ellen, amelyek a saját területükön történtek, amelyeket egyik állampolgáruk vagy lakosuk követett el, vagy amelyeket a saját népük ellen követtek el valakik. Ugyanakkor az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alapvető jogok tiszteletben tartását, mint a gyülekezés, a társulás és a szólás szabadságát, kifejezetten garantálják, és rendelkeztek a terrorizmus áldozatainak védelméről. Az Európai Unió bővítése a stabilitás és jólét szélesebb térségét fogja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létrehozni Európában – egy olyan térséget, ahol a demokrácia és a jogok érvényesülése biztosított, és ahol az emberi jogokat tisztelik. Természetesen az Európai Unió a szomszédos régiókból és távolabbról is vonzza az embereket, akik itt kívánnak otthont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teremteni – törvényesen vagy máshogy. Az európai vezetők nem hisznek abban, hogy a helyes válaszlépés korlátok építése lenne az Unió határain, azt egy erőddé változtatva. Ez az Európai Uniót és szomszédait sok értékes lehetőségtől fosztaná meg a határokon átnyúló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kereskedelem és együttműködés terén. Ehelyett az Európai Unió szoros partnerséget kíván kialakítani minden szomszédjával – Oroszországgal, Ukrajnával, Fehéroroszországgal, Moldovával, a Kaukázussal, a balkáni országokkal, Észak-Afrikával és a Közel-</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Kelettel. A partnerség szoros együttműködést jelent a terrorizmus és a szervezett bűnözés elleni küzdelemben, segítve az Európai Unió szomszédait a rendőrségeik és az igazságszolgáltatásaik megreformálásában és a határaik igazgatásának javításában. Például a második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Északi Dimenzió Cselekvési Terv (2004–2006) meghatározott akciót tartalmaz az ember- és a kábítószer-kereskedelem elleni küzdelemre, valamint az együttműködés növelésére az uniós határőrök és keleti szomszédaik között a balti régióban. De a partnerség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azt is jelenti, hogy az Európai Unió közeli szomszédainak a kibővült, 450 millió fogyasztóból álló, egységes piachoz könnyű hozzáférést nyújt. Jelenti azt, hogy segítenek ezeknek a szomszédoknak polgáraik életszínvonalának növelésében. Továbbá jelenti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demokratikus intézmények és a politikai pluralizmus ösztönzését ezekben a régiókban. Az emberi jogok tiszteletben tartása ma már kulcsfontosságú része minden nemzetközi szerződésnek, amelyet az Európai Unió aláír. Mindez a gyökerénél segít megragadni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menekültek és menedékkérők problémáját. Ahogy a helyzet a zavarokkal küszködő országokban jobbra fordul, a polgáraik kevésbe fogják érezni annak szükségességét, hogy elmeneküljenek, és másutt próbáljanak jobb életet teremteni maguknak.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lastRenderedPageBreak/>
        <w:t xml:space="preserve">Ugyanakkor az Európai Unió törekszik arra, hogy aktív szerepet töltsön be a határain túl lévő régiókban kialakuló bármely krízishelyzet kezelésében. Például az Európai Unió nemzeti rendőri szerveinek tisztjei együtt dolgoznak az Európai Unió Rendőri Missziójában,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Bosznia-Hercegovinában. A rendőrtisztek helyi rendőrtiszteket képeznek ki, segítenek a közrend fenntartásában, és párbeszédet hoznak létre a helyi hatóságokkal. Röviden, az Európai Unió hisz abban, hogy a szabadság, igazságosság és biztonság biztosításának a </w:t>
      </w:r>
    </w:p>
    <w:p w:rsidR="00F55A94" w:rsidRDefault="00F55A94" w:rsidP="00F55A94">
      <w:pPr>
        <w:tabs>
          <w:tab w:val="left" w:pos="2410"/>
        </w:tabs>
        <w:spacing w:line="360" w:lineRule="exact"/>
        <w:rPr>
          <w:rFonts w:ascii="Courier New" w:hAnsi="Courier New" w:cs="Courier New"/>
          <w:sz w:val="24"/>
          <w:szCs w:val="24"/>
          <w:lang w:val="hu-HU"/>
        </w:rPr>
      </w:pPr>
    </w:p>
    <w:p w:rsidR="00F55A94"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határain belül egyik fontos módja ezek exportálása a határain </w:t>
      </w:r>
      <w:r w:rsidRPr="00684130">
        <w:rPr>
          <w:rFonts w:ascii="Courier New" w:hAnsi="Courier New" w:cs="Courier New"/>
          <w:iCs/>
          <w:sz w:val="24"/>
          <w:szCs w:val="24"/>
          <w:lang w:val="hu-HU"/>
        </w:rPr>
        <w:t>kívüli</w:t>
      </w:r>
      <w:r w:rsidRPr="00684130">
        <w:rPr>
          <w:rFonts w:ascii="Courier New" w:hAnsi="Courier New" w:cs="Courier New"/>
          <w:sz w:val="24"/>
          <w:szCs w:val="24"/>
          <w:lang w:val="hu-HU"/>
        </w:rPr>
        <w:t xml:space="preserve"> országokba, hogy terjessze ezeket az előnyöket egy még szélesebb térségben, valamint hogy segítsen egy biztonságosabb, szabadabb és méltányosabb </w:t>
      </w:r>
    </w:p>
    <w:p w:rsidR="00F55A94" w:rsidRPr="00684130" w:rsidRDefault="00F55A94" w:rsidP="00F55A94">
      <w:pPr>
        <w:tabs>
          <w:tab w:val="left" w:pos="2410"/>
        </w:tabs>
        <w:spacing w:line="360" w:lineRule="exact"/>
        <w:rPr>
          <w:rFonts w:ascii="Courier New" w:hAnsi="Courier New" w:cs="Courier New"/>
          <w:sz w:val="24"/>
          <w:szCs w:val="24"/>
          <w:lang w:val="hu-HU"/>
        </w:rPr>
      </w:pPr>
      <w:r w:rsidRPr="00684130">
        <w:rPr>
          <w:rFonts w:ascii="Courier New" w:hAnsi="Courier New" w:cs="Courier New"/>
          <w:sz w:val="24"/>
          <w:szCs w:val="24"/>
          <w:lang w:val="hu-HU"/>
        </w:rPr>
        <w:t xml:space="preserve">világ megteremtésében. </w:t>
      </w:r>
    </w:p>
    <w:p w:rsidR="00466E21" w:rsidRDefault="00466E21"/>
    <w:sectPr w:rsidR="00466E21" w:rsidSect="00F55A94">
      <w:footerReference w:type="even" r:id="rId6"/>
      <w:footerReference w:type="default" r:id="rId7"/>
      <w:pgSz w:w="11907" w:h="16840" w:code="9"/>
      <w:pgMar w:top="993" w:right="2835" w:bottom="709" w:left="1134" w:header="709" w:footer="4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747" w:rsidRDefault="00134747">
      <w:r>
        <w:separator/>
      </w:r>
    </w:p>
  </w:endnote>
  <w:endnote w:type="continuationSeparator" w:id="0">
    <w:p w:rsidR="00134747" w:rsidRDefault="00134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A94" w:rsidRDefault="00F55A94">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28</w:t>
    </w:r>
    <w:r>
      <w:rPr>
        <w:rStyle w:val="Oldalszm"/>
      </w:rPr>
      <w:fldChar w:fldCharType="end"/>
    </w:r>
  </w:p>
  <w:p w:rsidR="00F55A94" w:rsidRDefault="00F55A94">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A94" w:rsidRPr="00785BD9" w:rsidRDefault="00F55A94" w:rsidP="00F55A94">
    <w:pPr>
      <w:pStyle w:val="llb"/>
      <w:framePr w:w="3039" w:wrap="around" w:vAnchor="page" w:hAnchor="page" w:x="8722" w:y="13685"/>
      <w:ind w:right="260"/>
      <w:jc w:val="center"/>
      <w:rPr>
        <w:rStyle w:val="Oldalszm"/>
        <w:rFonts w:ascii="Arial" w:hAnsi="Arial" w:cs="Arial"/>
        <w:spacing w:val="-70"/>
        <w:sz w:val="240"/>
        <w:szCs w:val="240"/>
      </w:rPr>
    </w:pPr>
    <w:r w:rsidRPr="00785BD9">
      <w:rPr>
        <w:rStyle w:val="Oldalszm"/>
        <w:rFonts w:ascii="Arial" w:hAnsi="Arial" w:cs="Arial"/>
        <w:spacing w:val="-70"/>
        <w:sz w:val="240"/>
        <w:szCs w:val="240"/>
      </w:rPr>
      <w:fldChar w:fldCharType="begin"/>
    </w:r>
    <w:r w:rsidRPr="00785BD9">
      <w:rPr>
        <w:rStyle w:val="Oldalszm"/>
        <w:rFonts w:ascii="Arial" w:hAnsi="Arial" w:cs="Arial"/>
        <w:spacing w:val="-70"/>
        <w:sz w:val="240"/>
        <w:szCs w:val="240"/>
      </w:rPr>
      <w:instrText xml:space="preserve">PAGE  </w:instrText>
    </w:r>
    <w:r w:rsidRPr="00785BD9">
      <w:rPr>
        <w:rStyle w:val="Oldalszm"/>
        <w:rFonts w:ascii="Arial" w:hAnsi="Arial" w:cs="Arial"/>
        <w:spacing w:val="-70"/>
        <w:sz w:val="240"/>
        <w:szCs w:val="240"/>
      </w:rPr>
      <w:fldChar w:fldCharType="separate"/>
    </w:r>
    <w:r w:rsidR="0045739D">
      <w:rPr>
        <w:rStyle w:val="Oldalszm"/>
        <w:rFonts w:ascii="Arial" w:hAnsi="Arial" w:cs="Arial"/>
        <w:noProof/>
        <w:spacing w:val="-70"/>
        <w:sz w:val="240"/>
        <w:szCs w:val="240"/>
      </w:rPr>
      <w:t>1</w:t>
    </w:r>
    <w:r w:rsidRPr="00785BD9">
      <w:rPr>
        <w:rStyle w:val="Oldalszm"/>
        <w:rFonts w:ascii="Arial" w:hAnsi="Arial" w:cs="Arial"/>
        <w:spacing w:val="-70"/>
        <w:sz w:val="240"/>
        <w:szCs w:val="240"/>
      </w:rPr>
      <w:fldChar w:fldCharType="end"/>
    </w:r>
  </w:p>
  <w:p w:rsidR="00F55A94" w:rsidRPr="00684130" w:rsidRDefault="0045739D" w:rsidP="00F55A94">
    <w:pPr>
      <w:pStyle w:val="llb"/>
      <w:tabs>
        <w:tab w:val="clear" w:pos="8306"/>
        <w:tab w:val="right" w:pos="9214"/>
      </w:tabs>
      <w:ind w:right="-1276"/>
      <w:jc w:val="right"/>
      <w:rPr>
        <w:rFonts w:ascii="Arial" w:hAnsi="Arial" w:cs="Arial"/>
        <w:sz w:val="20"/>
      </w:rPr>
    </w:pPr>
    <w:r>
      <w:rPr>
        <w:rFonts w:ascii="Arial" w:hAnsi="Arial" w:cs="Arial"/>
        <w:noProof/>
        <w:sz w:val="20"/>
        <w:lang w:val="hu-HU" w:eastAsia="hu-HU"/>
      </w:rPr>
      <mc:AlternateContent>
        <mc:Choice Requires="wps">
          <w:drawing>
            <wp:anchor distT="0" distB="0" distL="114300" distR="114300" simplePos="0" relativeHeight="251657728" behindDoc="0" locked="0" layoutInCell="1" allowOverlap="1">
              <wp:simplePos x="0" y="0"/>
              <wp:positionH relativeFrom="column">
                <wp:posOffset>-19050</wp:posOffset>
              </wp:positionH>
              <wp:positionV relativeFrom="paragraph">
                <wp:posOffset>-5715</wp:posOffset>
              </wp:positionV>
              <wp:extent cx="2251075" cy="211455"/>
              <wp:effectExtent l="0" t="381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07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D74" w:rsidRPr="006528BD" w:rsidRDefault="00684D74" w:rsidP="00684D74">
                          <w:pPr>
                            <w:rPr>
                              <w:rFonts w:ascii="Arial Narrow" w:hAnsi="Arial Narrow"/>
                              <w:sz w:val="12"/>
                              <w:lang w:val="fr-BE"/>
                            </w:rPr>
                          </w:pPr>
                          <w:r>
                            <w:rPr>
                              <w:rFonts w:ascii="Arial Narrow" w:hAnsi="Arial Narrow"/>
                              <w:sz w:val="12"/>
                              <w:lang w:val="fr-BE"/>
                            </w:rPr>
                            <w:t xml:space="preserve">Text Production, </w:t>
                          </w:r>
                          <w:r w:rsidRPr="006528BD">
                            <w:rPr>
                              <w:rFonts w:ascii="Arial Narrow" w:hAnsi="Arial Narrow"/>
                              <w:sz w:val="12"/>
                              <w:lang w:val="fr-BE"/>
                            </w:rPr>
                            <w:t>Beijing, 16th August 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5pt;margin-top:-.45pt;width:177.25pt;height:16.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" filled="f" stroked="f">
              <v:textbox>
                <w:txbxContent>
                  <w:p w:rsidR="00684D74" w:rsidRPr="006528BD" w:rsidRDefault="00684D74" w:rsidP="00684D74">
                    <w:pPr>
                      <w:rPr>
                        <w:rFonts w:ascii="Arial Narrow" w:hAnsi="Arial Narrow"/>
                        <w:sz w:val="12"/>
                        <w:lang w:val="fr-BE"/>
                      </w:rPr>
                    </w:pPr>
                    <w:r>
                      <w:rPr>
                        <w:rFonts w:ascii="Arial Narrow" w:hAnsi="Arial Narrow"/>
                        <w:sz w:val="12"/>
                        <w:lang w:val="fr-BE"/>
                      </w:rPr>
                      <w:t xml:space="preserve">Text Production, </w:t>
                    </w:r>
                    <w:r w:rsidRPr="006528BD">
                      <w:rPr>
                        <w:rFonts w:ascii="Arial Narrow" w:hAnsi="Arial Narrow"/>
                        <w:sz w:val="12"/>
                        <w:lang w:val="fr-BE"/>
                      </w:rPr>
                      <w:t>Beijing, 16th August 2009</w:t>
                    </w:r>
                  </w:p>
                </w:txbxContent>
              </v:textbox>
            </v:shape>
          </w:pict>
        </mc:Fallback>
      </mc:AlternateContent>
    </w:r>
    <w:r w:rsidR="00F55A94">
      <w:rPr>
        <w:rFonts w:ascii="Arial" w:hAnsi="Arial" w:cs="Arial"/>
        <w:sz w:val="20"/>
      </w:rPr>
      <w:t>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747" w:rsidRDefault="00134747">
      <w:r>
        <w:separator/>
      </w:r>
    </w:p>
  </w:footnote>
  <w:footnote w:type="continuationSeparator" w:id="0">
    <w:p w:rsidR="00134747" w:rsidRDefault="001347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A94"/>
    <w:rsid w:val="000000BB"/>
    <w:rsid w:val="00004212"/>
    <w:rsid w:val="00006706"/>
    <w:rsid w:val="00006763"/>
    <w:rsid w:val="00015AD7"/>
    <w:rsid w:val="000234C6"/>
    <w:rsid w:val="00024EF8"/>
    <w:rsid w:val="000250D4"/>
    <w:rsid w:val="00025608"/>
    <w:rsid w:val="00031DB9"/>
    <w:rsid w:val="00033006"/>
    <w:rsid w:val="00033145"/>
    <w:rsid w:val="000358C4"/>
    <w:rsid w:val="00035B6A"/>
    <w:rsid w:val="00041121"/>
    <w:rsid w:val="0004276F"/>
    <w:rsid w:val="00043003"/>
    <w:rsid w:val="00044452"/>
    <w:rsid w:val="000475CC"/>
    <w:rsid w:val="00054437"/>
    <w:rsid w:val="00061705"/>
    <w:rsid w:val="00063B20"/>
    <w:rsid w:val="00064F37"/>
    <w:rsid w:val="00067818"/>
    <w:rsid w:val="00067A8F"/>
    <w:rsid w:val="00070DEF"/>
    <w:rsid w:val="00072350"/>
    <w:rsid w:val="000801AC"/>
    <w:rsid w:val="000807D0"/>
    <w:rsid w:val="0008106B"/>
    <w:rsid w:val="000849CE"/>
    <w:rsid w:val="00084D6E"/>
    <w:rsid w:val="000877F5"/>
    <w:rsid w:val="000909DD"/>
    <w:rsid w:val="00090DA4"/>
    <w:rsid w:val="00093035"/>
    <w:rsid w:val="000A25A9"/>
    <w:rsid w:val="000A295D"/>
    <w:rsid w:val="000A50E2"/>
    <w:rsid w:val="000B0BA5"/>
    <w:rsid w:val="000B2179"/>
    <w:rsid w:val="000B4A94"/>
    <w:rsid w:val="000C193D"/>
    <w:rsid w:val="000C244D"/>
    <w:rsid w:val="000C254D"/>
    <w:rsid w:val="000D4433"/>
    <w:rsid w:val="000D6D7F"/>
    <w:rsid w:val="000E142B"/>
    <w:rsid w:val="000E3D01"/>
    <w:rsid w:val="000E4A08"/>
    <w:rsid w:val="000E6FF7"/>
    <w:rsid w:val="000F01C3"/>
    <w:rsid w:val="000F1264"/>
    <w:rsid w:val="000F1A25"/>
    <w:rsid w:val="000F1EF2"/>
    <w:rsid w:val="000F2263"/>
    <w:rsid w:val="000F507D"/>
    <w:rsid w:val="000F652B"/>
    <w:rsid w:val="000F698F"/>
    <w:rsid w:val="000F7F18"/>
    <w:rsid w:val="00102A22"/>
    <w:rsid w:val="001048F0"/>
    <w:rsid w:val="0010515A"/>
    <w:rsid w:val="00111E97"/>
    <w:rsid w:val="00112B21"/>
    <w:rsid w:val="0011360F"/>
    <w:rsid w:val="00113A57"/>
    <w:rsid w:val="001146EF"/>
    <w:rsid w:val="00115DE6"/>
    <w:rsid w:val="0011743F"/>
    <w:rsid w:val="00117513"/>
    <w:rsid w:val="0012045B"/>
    <w:rsid w:val="001227CE"/>
    <w:rsid w:val="001316E2"/>
    <w:rsid w:val="0013212B"/>
    <w:rsid w:val="00132F93"/>
    <w:rsid w:val="001342CA"/>
    <w:rsid w:val="00134747"/>
    <w:rsid w:val="001361B9"/>
    <w:rsid w:val="00141F4B"/>
    <w:rsid w:val="00144A77"/>
    <w:rsid w:val="001462BE"/>
    <w:rsid w:val="00146B50"/>
    <w:rsid w:val="00155EF6"/>
    <w:rsid w:val="001579B3"/>
    <w:rsid w:val="00160031"/>
    <w:rsid w:val="0016527F"/>
    <w:rsid w:val="00165924"/>
    <w:rsid w:val="00165CC4"/>
    <w:rsid w:val="00165E6F"/>
    <w:rsid w:val="0017195C"/>
    <w:rsid w:val="00172EA7"/>
    <w:rsid w:val="0017512A"/>
    <w:rsid w:val="001770E7"/>
    <w:rsid w:val="00180AA9"/>
    <w:rsid w:val="001835D5"/>
    <w:rsid w:val="00187C97"/>
    <w:rsid w:val="00190123"/>
    <w:rsid w:val="00190141"/>
    <w:rsid w:val="00194F56"/>
    <w:rsid w:val="00195400"/>
    <w:rsid w:val="00196A9F"/>
    <w:rsid w:val="00196C21"/>
    <w:rsid w:val="001A2362"/>
    <w:rsid w:val="001A4C1C"/>
    <w:rsid w:val="001A5808"/>
    <w:rsid w:val="001B0C16"/>
    <w:rsid w:val="001C1826"/>
    <w:rsid w:val="001C3525"/>
    <w:rsid w:val="001C5A71"/>
    <w:rsid w:val="001D0CC3"/>
    <w:rsid w:val="001D11BB"/>
    <w:rsid w:val="001D1A65"/>
    <w:rsid w:val="001D3F90"/>
    <w:rsid w:val="001D69F2"/>
    <w:rsid w:val="001E088E"/>
    <w:rsid w:val="001E14B4"/>
    <w:rsid w:val="001E3EE1"/>
    <w:rsid w:val="001E4B84"/>
    <w:rsid w:val="001E6F55"/>
    <w:rsid w:val="001F399A"/>
    <w:rsid w:val="001F4EF1"/>
    <w:rsid w:val="001F6C85"/>
    <w:rsid w:val="0020272A"/>
    <w:rsid w:val="0020403B"/>
    <w:rsid w:val="002067E7"/>
    <w:rsid w:val="00206F95"/>
    <w:rsid w:val="00210C96"/>
    <w:rsid w:val="00211509"/>
    <w:rsid w:val="00212A10"/>
    <w:rsid w:val="002134D0"/>
    <w:rsid w:val="00222B00"/>
    <w:rsid w:val="00234D13"/>
    <w:rsid w:val="00247215"/>
    <w:rsid w:val="00251113"/>
    <w:rsid w:val="0025154C"/>
    <w:rsid w:val="002516C6"/>
    <w:rsid w:val="0025691E"/>
    <w:rsid w:val="00257BE8"/>
    <w:rsid w:val="00265FB3"/>
    <w:rsid w:val="00267564"/>
    <w:rsid w:val="00272CF7"/>
    <w:rsid w:val="00272DEA"/>
    <w:rsid w:val="00275C35"/>
    <w:rsid w:val="00277184"/>
    <w:rsid w:val="00283EC7"/>
    <w:rsid w:val="00284B11"/>
    <w:rsid w:val="0029292B"/>
    <w:rsid w:val="002A2356"/>
    <w:rsid w:val="002A2BC3"/>
    <w:rsid w:val="002A330A"/>
    <w:rsid w:val="002A37D7"/>
    <w:rsid w:val="002A782B"/>
    <w:rsid w:val="002C0ECA"/>
    <w:rsid w:val="002C38BE"/>
    <w:rsid w:val="002C5F3B"/>
    <w:rsid w:val="002C7BE3"/>
    <w:rsid w:val="002D1E86"/>
    <w:rsid w:val="002D2376"/>
    <w:rsid w:val="002D54D9"/>
    <w:rsid w:val="002E4A5A"/>
    <w:rsid w:val="002F2767"/>
    <w:rsid w:val="00303749"/>
    <w:rsid w:val="00304A18"/>
    <w:rsid w:val="00305D05"/>
    <w:rsid w:val="00305EE4"/>
    <w:rsid w:val="003066A3"/>
    <w:rsid w:val="0030681F"/>
    <w:rsid w:val="003072FA"/>
    <w:rsid w:val="003116A9"/>
    <w:rsid w:val="0031602C"/>
    <w:rsid w:val="003200C0"/>
    <w:rsid w:val="00327FB9"/>
    <w:rsid w:val="0033390B"/>
    <w:rsid w:val="00333E33"/>
    <w:rsid w:val="0034150E"/>
    <w:rsid w:val="00341A9B"/>
    <w:rsid w:val="00344AD2"/>
    <w:rsid w:val="00347F51"/>
    <w:rsid w:val="00352244"/>
    <w:rsid w:val="00354991"/>
    <w:rsid w:val="00354C96"/>
    <w:rsid w:val="003573D3"/>
    <w:rsid w:val="003610D1"/>
    <w:rsid w:val="00363F76"/>
    <w:rsid w:val="00366C19"/>
    <w:rsid w:val="00371D83"/>
    <w:rsid w:val="003741F4"/>
    <w:rsid w:val="00377F67"/>
    <w:rsid w:val="00384455"/>
    <w:rsid w:val="0038498A"/>
    <w:rsid w:val="00387345"/>
    <w:rsid w:val="00390AE0"/>
    <w:rsid w:val="003916EB"/>
    <w:rsid w:val="00391F80"/>
    <w:rsid w:val="00396F52"/>
    <w:rsid w:val="0039718D"/>
    <w:rsid w:val="003977F9"/>
    <w:rsid w:val="003A436E"/>
    <w:rsid w:val="003A592F"/>
    <w:rsid w:val="003B01D9"/>
    <w:rsid w:val="003B11FC"/>
    <w:rsid w:val="003B3720"/>
    <w:rsid w:val="003B6C00"/>
    <w:rsid w:val="003B739C"/>
    <w:rsid w:val="003C5F1C"/>
    <w:rsid w:val="003C6750"/>
    <w:rsid w:val="003D14BD"/>
    <w:rsid w:val="003D14FC"/>
    <w:rsid w:val="003D1B42"/>
    <w:rsid w:val="003D3391"/>
    <w:rsid w:val="003D5FAF"/>
    <w:rsid w:val="003D6056"/>
    <w:rsid w:val="003D7BD2"/>
    <w:rsid w:val="003E2CB3"/>
    <w:rsid w:val="003E3DD1"/>
    <w:rsid w:val="003E4A83"/>
    <w:rsid w:val="003E688B"/>
    <w:rsid w:val="003F2427"/>
    <w:rsid w:val="003F2BC8"/>
    <w:rsid w:val="003F393C"/>
    <w:rsid w:val="003F4A84"/>
    <w:rsid w:val="003F4E8A"/>
    <w:rsid w:val="003F7811"/>
    <w:rsid w:val="003F7DD1"/>
    <w:rsid w:val="004065A4"/>
    <w:rsid w:val="00410FFC"/>
    <w:rsid w:val="00415CC4"/>
    <w:rsid w:val="0042774F"/>
    <w:rsid w:val="00434109"/>
    <w:rsid w:val="0043585B"/>
    <w:rsid w:val="00435BFE"/>
    <w:rsid w:val="0043627D"/>
    <w:rsid w:val="004408F5"/>
    <w:rsid w:val="00440D54"/>
    <w:rsid w:val="00441188"/>
    <w:rsid w:val="0044664C"/>
    <w:rsid w:val="004525C9"/>
    <w:rsid w:val="004529D5"/>
    <w:rsid w:val="00455A75"/>
    <w:rsid w:val="0045739D"/>
    <w:rsid w:val="00461686"/>
    <w:rsid w:val="00464574"/>
    <w:rsid w:val="00466BBB"/>
    <w:rsid w:val="00466E21"/>
    <w:rsid w:val="00467AA3"/>
    <w:rsid w:val="004702C9"/>
    <w:rsid w:val="00472DB7"/>
    <w:rsid w:val="004736AA"/>
    <w:rsid w:val="00474B39"/>
    <w:rsid w:val="00476CC2"/>
    <w:rsid w:val="00482A22"/>
    <w:rsid w:val="004840B9"/>
    <w:rsid w:val="00486258"/>
    <w:rsid w:val="004872D4"/>
    <w:rsid w:val="00494CA7"/>
    <w:rsid w:val="00495F74"/>
    <w:rsid w:val="00496576"/>
    <w:rsid w:val="00497F7C"/>
    <w:rsid w:val="004A01A3"/>
    <w:rsid w:val="004A1A6C"/>
    <w:rsid w:val="004A5ED8"/>
    <w:rsid w:val="004A6F52"/>
    <w:rsid w:val="004A7106"/>
    <w:rsid w:val="004B1D8B"/>
    <w:rsid w:val="004B27D3"/>
    <w:rsid w:val="004B3B80"/>
    <w:rsid w:val="004C17E6"/>
    <w:rsid w:val="004C4EE9"/>
    <w:rsid w:val="004D0976"/>
    <w:rsid w:val="004E27AF"/>
    <w:rsid w:val="004E2936"/>
    <w:rsid w:val="004E618A"/>
    <w:rsid w:val="004F543A"/>
    <w:rsid w:val="004F56BB"/>
    <w:rsid w:val="004F718E"/>
    <w:rsid w:val="0050239C"/>
    <w:rsid w:val="00503F0C"/>
    <w:rsid w:val="00510BD0"/>
    <w:rsid w:val="00510EC6"/>
    <w:rsid w:val="00514ACD"/>
    <w:rsid w:val="00516B37"/>
    <w:rsid w:val="00520FE6"/>
    <w:rsid w:val="005213E9"/>
    <w:rsid w:val="00521715"/>
    <w:rsid w:val="00521FCA"/>
    <w:rsid w:val="00522F2B"/>
    <w:rsid w:val="005234C8"/>
    <w:rsid w:val="00523BAB"/>
    <w:rsid w:val="005267B6"/>
    <w:rsid w:val="00527C8A"/>
    <w:rsid w:val="005308DC"/>
    <w:rsid w:val="005335E2"/>
    <w:rsid w:val="00536EAF"/>
    <w:rsid w:val="0054074B"/>
    <w:rsid w:val="005424EF"/>
    <w:rsid w:val="0054319D"/>
    <w:rsid w:val="005448B3"/>
    <w:rsid w:val="005471AE"/>
    <w:rsid w:val="005500DE"/>
    <w:rsid w:val="005509CD"/>
    <w:rsid w:val="00552913"/>
    <w:rsid w:val="00571949"/>
    <w:rsid w:val="00573786"/>
    <w:rsid w:val="00577881"/>
    <w:rsid w:val="005808FD"/>
    <w:rsid w:val="00581540"/>
    <w:rsid w:val="0058280B"/>
    <w:rsid w:val="00585F5A"/>
    <w:rsid w:val="00587647"/>
    <w:rsid w:val="00595236"/>
    <w:rsid w:val="005A087B"/>
    <w:rsid w:val="005A218C"/>
    <w:rsid w:val="005A26B5"/>
    <w:rsid w:val="005A2C03"/>
    <w:rsid w:val="005A38A2"/>
    <w:rsid w:val="005A5A8D"/>
    <w:rsid w:val="005A7E9C"/>
    <w:rsid w:val="005B0B48"/>
    <w:rsid w:val="005B5D51"/>
    <w:rsid w:val="005B66AB"/>
    <w:rsid w:val="005B6E43"/>
    <w:rsid w:val="005B7D72"/>
    <w:rsid w:val="005C05F1"/>
    <w:rsid w:val="005C09C6"/>
    <w:rsid w:val="005C5629"/>
    <w:rsid w:val="005D0EAA"/>
    <w:rsid w:val="005D1B30"/>
    <w:rsid w:val="005E1BF9"/>
    <w:rsid w:val="005E20C1"/>
    <w:rsid w:val="005E2AD2"/>
    <w:rsid w:val="005E35E5"/>
    <w:rsid w:val="0060165A"/>
    <w:rsid w:val="00601B35"/>
    <w:rsid w:val="00604893"/>
    <w:rsid w:val="0060775C"/>
    <w:rsid w:val="00610544"/>
    <w:rsid w:val="00610D10"/>
    <w:rsid w:val="00613198"/>
    <w:rsid w:val="0061676E"/>
    <w:rsid w:val="00627411"/>
    <w:rsid w:val="0062795A"/>
    <w:rsid w:val="006306F2"/>
    <w:rsid w:val="00630703"/>
    <w:rsid w:val="0063660B"/>
    <w:rsid w:val="00636957"/>
    <w:rsid w:val="00636D52"/>
    <w:rsid w:val="00644F42"/>
    <w:rsid w:val="00645289"/>
    <w:rsid w:val="0064669F"/>
    <w:rsid w:val="006513B8"/>
    <w:rsid w:val="006553B9"/>
    <w:rsid w:val="00661D0D"/>
    <w:rsid w:val="00661DC5"/>
    <w:rsid w:val="00662521"/>
    <w:rsid w:val="0066727A"/>
    <w:rsid w:val="00667B84"/>
    <w:rsid w:val="00670E69"/>
    <w:rsid w:val="006718B1"/>
    <w:rsid w:val="00674D53"/>
    <w:rsid w:val="00681BEB"/>
    <w:rsid w:val="0068220D"/>
    <w:rsid w:val="00684C23"/>
    <w:rsid w:val="00684D74"/>
    <w:rsid w:val="00685BD9"/>
    <w:rsid w:val="006903CD"/>
    <w:rsid w:val="0069223B"/>
    <w:rsid w:val="00693B1B"/>
    <w:rsid w:val="006946EC"/>
    <w:rsid w:val="00696E57"/>
    <w:rsid w:val="006974BE"/>
    <w:rsid w:val="006A05D7"/>
    <w:rsid w:val="006A1312"/>
    <w:rsid w:val="006A2A2F"/>
    <w:rsid w:val="006A2B99"/>
    <w:rsid w:val="006A3F8C"/>
    <w:rsid w:val="006A4EFC"/>
    <w:rsid w:val="006B3B26"/>
    <w:rsid w:val="006B63D6"/>
    <w:rsid w:val="006B75EB"/>
    <w:rsid w:val="006C4AF0"/>
    <w:rsid w:val="006D2A37"/>
    <w:rsid w:val="006D3DDF"/>
    <w:rsid w:val="006D46F1"/>
    <w:rsid w:val="006E0DD4"/>
    <w:rsid w:val="006E6FF6"/>
    <w:rsid w:val="006F0B1F"/>
    <w:rsid w:val="006F1E44"/>
    <w:rsid w:val="006F412C"/>
    <w:rsid w:val="007002D0"/>
    <w:rsid w:val="0070064B"/>
    <w:rsid w:val="00701CCD"/>
    <w:rsid w:val="007029CC"/>
    <w:rsid w:val="00702A0F"/>
    <w:rsid w:val="007050C1"/>
    <w:rsid w:val="00705BCE"/>
    <w:rsid w:val="00706B4D"/>
    <w:rsid w:val="007109DC"/>
    <w:rsid w:val="00710AAD"/>
    <w:rsid w:val="00711360"/>
    <w:rsid w:val="00711F49"/>
    <w:rsid w:val="00715F0E"/>
    <w:rsid w:val="00724FE7"/>
    <w:rsid w:val="00727DB3"/>
    <w:rsid w:val="00727F56"/>
    <w:rsid w:val="00731587"/>
    <w:rsid w:val="00731680"/>
    <w:rsid w:val="00733500"/>
    <w:rsid w:val="0073733A"/>
    <w:rsid w:val="007379A3"/>
    <w:rsid w:val="007417DB"/>
    <w:rsid w:val="00742987"/>
    <w:rsid w:val="0074533D"/>
    <w:rsid w:val="0075175A"/>
    <w:rsid w:val="00752A73"/>
    <w:rsid w:val="00752BEA"/>
    <w:rsid w:val="00753A86"/>
    <w:rsid w:val="00756DC8"/>
    <w:rsid w:val="00757E91"/>
    <w:rsid w:val="00760310"/>
    <w:rsid w:val="00760D9B"/>
    <w:rsid w:val="00760EA3"/>
    <w:rsid w:val="00765852"/>
    <w:rsid w:val="0077038D"/>
    <w:rsid w:val="007728D9"/>
    <w:rsid w:val="00772DE3"/>
    <w:rsid w:val="00781E7F"/>
    <w:rsid w:val="00782B9D"/>
    <w:rsid w:val="007835EE"/>
    <w:rsid w:val="007906C9"/>
    <w:rsid w:val="00791834"/>
    <w:rsid w:val="00796EB9"/>
    <w:rsid w:val="007A0593"/>
    <w:rsid w:val="007A08BD"/>
    <w:rsid w:val="007A2D44"/>
    <w:rsid w:val="007A4769"/>
    <w:rsid w:val="007A5A5C"/>
    <w:rsid w:val="007C12E0"/>
    <w:rsid w:val="007C371F"/>
    <w:rsid w:val="007C4A1A"/>
    <w:rsid w:val="007D5C40"/>
    <w:rsid w:val="007E1FE3"/>
    <w:rsid w:val="007E2B10"/>
    <w:rsid w:val="007E68F5"/>
    <w:rsid w:val="007F2BEA"/>
    <w:rsid w:val="007F4FDC"/>
    <w:rsid w:val="00801F35"/>
    <w:rsid w:val="00802F73"/>
    <w:rsid w:val="00806E97"/>
    <w:rsid w:val="0080765E"/>
    <w:rsid w:val="00810614"/>
    <w:rsid w:val="008116D7"/>
    <w:rsid w:val="00811D4F"/>
    <w:rsid w:val="00814C06"/>
    <w:rsid w:val="008160CC"/>
    <w:rsid w:val="008209CB"/>
    <w:rsid w:val="00821822"/>
    <w:rsid w:val="00825313"/>
    <w:rsid w:val="0082728E"/>
    <w:rsid w:val="00832497"/>
    <w:rsid w:val="00841759"/>
    <w:rsid w:val="00846161"/>
    <w:rsid w:val="00853757"/>
    <w:rsid w:val="008552FE"/>
    <w:rsid w:val="00855F69"/>
    <w:rsid w:val="0085781D"/>
    <w:rsid w:val="00857F3F"/>
    <w:rsid w:val="00866945"/>
    <w:rsid w:val="00866A56"/>
    <w:rsid w:val="00873716"/>
    <w:rsid w:val="00875F8B"/>
    <w:rsid w:val="00876DA1"/>
    <w:rsid w:val="008771BB"/>
    <w:rsid w:val="008777E1"/>
    <w:rsid w:val="00880223"/>
    <w:rsid w:val="00880DDC"/>
    <w:rsid w:val="00881AC5"/>
    <w:rsid w:val="00882FAF"/>
    <w:rsid w:val="00884821"/>
    <w:rsid w:val="008848F6"/>
    <w:rsid w:val="0089043D"/>
    <w:rsid w:val="008946F9"/>
    <w:rsid w:val="00894866"/>
    <w:rsid w:val="008958CC"/>
    <w:rsid w:val="00896216"/>
    <w:rsid w:val="008A0713"/>
    <w:rsid w:val="008A5F8A"/>
    <w:rsid w:val="008B2F66"/>
    <w:rsid w:val="008B52E7"/>
    <w:rsid w:val="008C00D3"/>
    <w:rsid w:val="008C0B2B"/>
    <w:rsid w:val="008C47F0"/>
    <w:rsid w:val="008C5511"/>
    <w:rsid w:val="008C794A"/>
    <w:rsid w:val="008D59A2"/>
    <w:rsid w:val="008E2B31"/>
    <w:rsid w:val="008E30CD"/>
    <w:rsid w:val="008E439A"/>
    <w:rsid w:val="008E6B5D"/>
    <w:rsid w:val="00902F5F"/>
    <w:rsid w:val="00906DF3"/>
    <w:rsid w:val="0091299D"/>
    <w:rsid w:val="00914F54"/>
    <w:rsid w:val="00920481"/>
    <w:rsid w:val="009206FE"/>
    <w:rsid w:val="00920E02"/>
    <w:rsid w:val="0092118E"/>
    <w:rsid w:val="00923A7C"/>
    <w:rsid w:val="009249F4"/>
    <w:rsid w:val="00934F22"/>
    <w:rsid w:val="00936172"/>
    <w:rsid w:val="009405AD"/>
    <w:rsid w:val="00952B65"/>
    <w:rsid w:val="00953E1D"/>
    <w:rsid w:val="00960A7A"/>
    <w:rsid w:val="009620F0"/>
    <w:rsid w:val="00965713"/>
    <w:rsid w:val="0096591F"/>
    <w:rsid w:val="00971B40"/>
    <w:rsid w:val="00972E5B"/>
    <w:rsid w:val="00972FF7"/>
    <w:rsid w:val="00973E45"/>
    <w:rsid w:val="009745FA"/>
    <w:rsid w:val="009750D4"/>
    <w:rsid w:val="0097692F"/>
    <w:rsid w:val="00985641"/>
    <w:rsid w:val="00985C77"/>
    <w:rsid w:val="00985DA8"/>
    <w:rsid w:val="00990B6B"/>
    <w:rsid w:val="009B7A1C"/>
    <w:rsid w:val="009C0B06"/>
    <w:rsid w:val="009C1BE8"/>
    <w:rsid w:val="009C1DE1"/>
    <w:rsid w:val="009C23FA"/>
    <w:rsid w:val="009C30D4"/>
    <w:rsid w:val="009D03A7"/>
    <w:rsid w:val="009D124C"/>
    <w:rsid w:val="009F4DA2"/>
    <w:rsid w:val="00A006D4"/>
    <w:rsid w:val="00A058D0"/>
    <w:rsid w:val="00A05A0D"/>
    <w:rsid w:val="00A0632C"/>
    <w:rsid w:val="00A12198"/>
    <w:rsid w:val="00A155EC"/>
    <w:rsid w:val="00A211E2"/>
    <w:rsid w:val="00A31FDA"/>
    <w:rsid w:val="00A337AB"/>
    <w:rsid w:val="00A342E9"/>
    <w:rsid w:val="00A357E4"/>
    <w:rsid w:val="00A409ED"/>
    <w:rsid w:val="00A44F5E"/>
    <w:rsid w:val="00A451FB"/>
    <w:rsid w:val="00A455C9"/>
    <w:rsid w:val="00A57A58"/>
    <w:rsid w:val="00A605E1"/>
    <w:rsid w:val="00A706E5"/>
    <w:rsid w:val="00A72A26"/>
    <w:rsid w:val="00A74AC0"/>
    <w:rsid w:val="00A76916"/>
    <w:rsid w:val="00A802D3"/>
    <w:rsid w:val="00A845D6"/>
    <w:rsid w:val="00A84607"/>
    <w:rsid w:val="00A8484A"/>
    <w:rsid w:val="00A8586D"/>
    <w:rsid w:val="00A859F4"/>
    <w:rsid w:val="00A87261"/>
    <w:rsid w:val="00A900B8"/>
    <w:rsid w:val="00A90B79"/>
    <w:rsid w:val="00A9181A"/>
    <w:rsid w:val="00A943E0"/>
    <w:rsid w:val="00A97D36"/>
    <w:rsid w:val="00AA045A"/>
    <w:rsid w:val="00AA12C0"/>
    <w:rsid w:val="00AA1E2D"/>
    <w:rsid w:val="00AB3E2D"/>
    <w:rsid w:val="00AB5C5F"/>
    <w:rsid w:val="00AB5DAF"/>
    <w:rsid w:val="00AB633C"/>
    <w:rsid w:val="00AC159B"/>
    <w:rsid w:val="00AC1A15"/>
    <w:rsid w:val="00AC1DC7"/>
    <w:rsid w:val="00AC3926"/>
    <w:rsid w:val="00AC7A3F"/>
    <w:rsid w:val="00AD1BC0"/>
    <w:rsid w:val="00AD1FA5"/>
    <w:rsid w:val="00AE3D27"/>
    <w:rsid w:val="00AE4900"/>
    <w:rsid w:val="00AE5A82"/>
    <w:rsid w:val="00AF08FE"/>
    <w:rsid w:val="00AF0CD7"/>
    <w:rsid w:val="00AF2023"/>
    <w:rsid w:val="00AF29CA"/>
    <w:rsid w:val="00AF5FAE"/>
    <w:rsid w:val="00B01898"/>
    <w:rsid w:val="00B055BA"/>
    <w:rsid w:val="00B07803"/>
    <w:rsid w:val="00B11732"/>
    <w:rsid w:val="00B12959"/>
    <w:rsid w:val="00B12A00"/>
    <w:rsid w:val="00B13849"/>
    <w:rsid w:val="00B138B6"/>
    <w:rsid w:val="00B141B6"/>
    <w:rsid w:val="00B16ADF"/>
    <w:rsid w:val="00B40230"/>
    <w:rsid w:val="00B40D8B"/>
    <w:rsid w:val="00B43B63"/>
    <w:rsid w:val="00B54C29"/>
    <w:rsid w:val="00B57203"/>
    <w:rsid w:val="00B574CF"/>
    <w:rsid w:val="00B75AC0"/>
    <w:rsid w:val="00B779A3"/>
    <w:rsid w:val="00B83981"/>
    <w:rsid w:val="00B938AB"/>
    <w:rsid w:val="00B9425A"/>
    <w:rsid w:val="00B95D1B"/>
    <w:rsid w:val="00B95F2C"/>
    <w:rsid w:val="00BA06A3"/>
    <w:rsid w:val="00BA1109"/>
    <w:rsid w:val="00BA3FCC"/>
    <w:rsid w:val="00BB0960"/>
    <w:rsid w:val="00BB18CE"/>
    <w:rsid w:val="00BB21CD"/>
    <w:rsid w:val="00BB3042"/>
    <w:rsid w:val="00BC3322"/>
    <w:rsid w:val="00BC3B4C"/>
    <w:rsid w:val="00BC3F64"/>
    <w:rsid w:val="00BC5D27"/>
    <w:rsid w:val="00BC6CCB"/>
    <w:rsid w:val="00BC7AAC"/>
    <w:rsid w:val="00BD12B9"/>
    <w:rsid w:val="00BD2FB5"/>
    <w:rsid w:val="00BD4199"/>
    <w:rsid w:val="00BD6A83"/>
    <w:rsid w:val="00BE134A"/>
    <w:rsid w:val="00BE2413"/>
    <w:rsid w:val="00BE269F"/>
    <w:rsid w:val="00BE3240"/>
    <w:rsid w:val="00BE3690"/>
    <w:rsid w:val="00BF4879"/>
    <w:rsid w:val="00BF7195"/>
    <w:rsid w:val="00C07240"/>
    <w:rsid w:val="00C125AE"/>
    <w:rsid w:val="00C15420"/>
    <w:rsid w:val="00C161FF"/>
    <w:rsid w:val="00C1684E"/>
    <w:rsid w:val="00C20324"/>
    <w:rsid w:val="00C21290"/>
    <w:rsid w:val="00C22177"/>
    <w:rsid w:val="00C22651"/>
    <w:rsid w:val="00C22903"/>
    <w:rsid w:val="00C23717"/>
    <w:rsid w:val="00C3120B"/>
    <w:rsid w:val="00C32040"/>
    <w:rsid w:val="00C33E45"/>
    <w:rsid w:val="00C359B9"/>
    <w:rsid w:val="00C4051E"/>
    <w:rsid w:val="00C40B57"/>
    <w:rsid w:val="00C41EEC"/>
    <w:rsid w:val="00C43827"/>
    <w:rsid w:val="00C43C82"/>
    <w:rsid w:val="00C44942"/>
    <w:rsid w:val="00C44EB0"/>
    <w:rsid w:val="00C5008B"/>
    <w:rsid w:val="00C5682A"/>
    <w:rsid w:val="00C606DA"/>
    <w:rsid w:val="00C62C7E"/>
    <w:rsid w:val="00C648AE"/>
    <w:rsid w:val="00C72340"/>
    <w:rsid w:val="00C73E7B"/>
    <w:rsid w:val="00C763A8"/>
    <w:rsid w:val="00C76C06"/>
    <w:rsid w:val="00C77C46"/>
    <w:rsid w:val="00C81B61"/>
    <w:rsid w:val="00C901D3"/>
    <w:rsid w:val="00C91398"/>
    <w:rsid w:val="00C92669"/>
    <w:rsid w:val="00C928FF"/>
    <w:rsid w:val="00C932EB"/>
    <w:rsid w:val="00C97F4A"/>
    <w:rsid w:val="00CA20FF"/>
    <w:rsid w:val="00CA3EE0"/>
    <w:rsid w:val="00CA3FB5"/>
    <w:rsid w:val="00CA46C9"/>
    <w:rsid w:val="00CB260D"/>
    <w:rsid w:val="00CB2BB2"/>
    <w:rsid w:val="00CC07C1"/>
    <w:rsid w:val="00CC298E"/>
    <w:rsid w:val="00CC4609"/>
    <w:rsid w:val="00CC75E9"/>
    <w:rsid w:val="00CD10C6"/>
    <w:rsid w:val="00CD326A"/>
    <w:rsid w:val="00CD4A8B"/>
    <w:rsid w:val="00CD614E"/>
    <w:rsid w:val="00CD7739"/>
    <w:rsid w:val="00CE0E81"/>
    <w:rsid w:val="00CE2829"/>
    <w:rsid w:val="00CF04DB"/>
    <w:rsid w:val="00CF62B3"/>
    <w:rsid w:val="00D01753"/>
    <w:rsid w:val="00D02949"/>
    <w:rsid w:val="00D03F60"/>
    <w:rsid w:val="00D0467E"/>
    <w:rsid w:val="00D04824"/>
    <w:rsid w:val="00D06152"/>
    <w:rsid w:val="00D10DC1"/>
    <w:rsid w:val="00D113AC"/>
    <w:rsid w:val="00D120F4"/>
    <w:rsid w:val="00D1666D"/>
    <w:rsid w:val="00D16753"/>
    <w:rsid w:val="00D1731F"/>
    <w:rsid w:val="00D20C15"/>
    <w:rsid w:val="00D23584"/>
    <w:rsid w:val="00D24030"/>
    <w:rsid w:val="00D306E0"/>
    <w:rsid w:val="00D336BA"/>
    <w:rsid w:val="00D33FA5"/>
    <w:rsid w:val="00D36343"/>
    <w:rsid w:val="00D404D4"/>
    <w:rsid w:val="00D4133B"/>
    <w:rsid w:val="00D436AF"/>
    <w:rsid w:val="00D464A6"/>
    <w:rsid w:val="00D47713"/>
    <w:rsid w:val="00D52165"/>
    <w:rsid w:val="00D52502"/>
    <w:rsid w:val="00D5387B"/>
    <w:rsid w:val="00D61407"/>
    <w:rsid w:val="00D62817"/>
    <w:rsid w:val="00D674AB"/>
    <w:rsid w:val="00D735D9"/>
    <w:rsid w:val="00D80C01"/>
    <w:rsid w:val="00D8166D"/>
    <w:rsid w:val="00D81E7D"/>
    <w:rsid w:val="00D82971"/>
    <w:rsid w:val="00D849C9"/>
    <w:rsid w:val="00D85487"/>
    <w:rsid w:val="00D86DE0"/>
    <w:rsid w:val="00D876C8"/>
    <w:rsid w:val="00D93338"/>
    <w:rsid w:val="00D94871"/>
    <w:rsid w:val="00D96B37"/>
    <w:rsid w:val="00D97A1D"/>
    <w:rsid w:val="00DA1F59"/>
    <w:rsid w:val="00DA2078"/>
    <w:rsid w:val="00DA397D"/>
    <w:rsid w:val="00DA3C93"/>
    <w:rsid w:val="00DA5101"/>
    <w:rsid w:val="00DA53F0"/>
    <w:rsid w:val="00DA568F"/>
    <w:rsid w:val="00DB3F4F"/>
    <w:rsid w:val="00DB4A19"/>
    <w:rsid w:val="00DC247E"/>
    <w:rsid w:val="00DC61D1"/>
    <w:rsid w:val="00DD1FDC"/>
    <w:rsid w:val="00DD5178"/>
    <w:rsid w:val="00DE2C80"/>
    <w:rsid w:val="00DF190D"/>
    <w:rsid w:val="00DF2E6D"/>
    <w:rsid w:val="00DF4889"/>
    <w:rsid w:val="00DF51D2"/>
    <w:rsid w:val="00E01F19"/>
    <w:rsid w:val="00E039AC"/>
    <w:rsid w:val="00E044F0"/>
    <w:rsid w:val="00E046E3"/>
    <w:rsid w:val="00E047EC"/>
    <w:rsid w:val="00E074C9"/>
    <w:rsid w:val="00E151A0"/>
    <w:rsid w:val="00E1655A"/>
    <w:rsid w:val="00E22839"/>
    <w:rsid w:val="00E22A96"/>
    <w:rsid w:val="00E23EB5"/>
    <w:rsid w:val="00E26C24"/>
    <w:rsid w:val="00E318D1"/>
    <w:rsid w:val="00E33E75"/>
    <w:rsid w:val="00E35AEF"/>
    <w:rsid w:val="00E35D4C"/>
    <w:rsid w:val="00E4166F"/>
    <w:rsid w:val="00E44ADD"/>
    <w:rsid w:val="00E50479"/>
    <w:rsid w:val="00E50AE1"/>
    <w:rsid w:val="00E510DC"/>
    <w:rsid w:val="00E54019"/>
    <w:rsid w:val="00E54245"/>
    <w:rsid w:val="00E60850"/>
    <w:rsid w:val="00E65F4D"/>
    <w:rsid w:val="00E713E7"/>
    <w:rsid w:val="00E717F1"/>
    <w:rsid w:val="00E71B25"/>
    <w:rsid w:val="00E73DFD"/>
    <w:rsid w:val="00E751CE"/>
    <w:rsid w:val="00E81E24"/>
    <w:rsid w:val="00E871DA"/>
    <w:rsid w:val="00E8799C"/>
    <w:rsid w:val="00E87FA8"/>
    <w:rsid w:val="00E911E5"/>
    <w:rsid w:val="00E91CC7"/>
    <w:rsid w:val="00E91EBE"/>
    <w:rsid w:val="00E976FA"/>
    <w:rsid w:val="00EA3818"/>
    <w:rsid w:val="00EA6825"/>
    <w:rsid w:val="00EA79AD"/>
    <w:rsid w:val="00EB1029"/>
    <w:rsid w:val="00EB2DA5"/>
    <w:rsid w:val="00EB6FCE"/>
    <w:rsid w:val="00EB7567"/>
    <w:rsid w:val="00EC4B56"/>
    <w:rsid w:val="00EC5705"/>
    <w:rsid w:val="00ED264A"/>
    <w:rsid w:val="00ED34C6"/>
    <w:rsid w:val="00ED528F"/>
    <w:rsid w:val="00ED61AF"/>
    <w:rsid w:val="00ED66FE"/>
    <w:rsid w:val="00EE374E"/>
    <w:rsid w:val="00EE4696"/>
    <w:rsid w:val="00EE5722"/>
    <w:rsid w:val="00EF0CA0"/>
    <w:rsid w:val="00EF2C1C"/>
    <w:rsid w:val="00EF5ABF"/>
    <w:rsid w:val="00EF7573"/>
    <w:rsid w:val="00F0012E"/>
    <w:rsid w:val="00F0071C"/>
    <w:rsid w:val="00F02FCB"/>
    <w:rsid w:val="00F03CFC"/>
    <w:rsid w:val="00F0569C"/>
    <w:rsid w:val="00F11915"/>
    <w:rsid w:val="00F140B5"/>
    <w:rsid w:val="00F15F8D"/>
    <w:rsid w:val="00F23A51"/>
    <w:rsid w:val="00F253FE"/>
    <w:rsid w:val="00F255CF"/>
    <w:rsid w:val="00F31498"/>
    <w:rsid w:val="00F31D4B"/>
    <w:rsid w:val="00F347C1"/>
    <w:rsid w:val="00F355E9"/>
    <w:rsid w:val="00F360E6"/>
    <w:rsid w:val="00F4199D"/>
    <w:rsid w:val="00F422EC"/>
    <w:rsid w:val="00F431C8"/>
    <w:rsid w:val="00F43748"/>
    <w:rsid w:val="00F54C06"/>
    <w:rsid w:val="00F55A94"/>
    <w:rsid w:val="00F55E3D"/>
    <w:rsid w:val="00F63313"/>
    <w:rsid w:val="00F6451A"/>
    <w:rsid w:val="00F727E9"/>
    <w:rsid w:val="00F75FCC"/>
    <w:rsid w:val="00F8386F"/>
    <w:rsid w:val="00F83952"/>
    <w:rsid w:val="00F87E75"/>
    <w:rsid w:val="00F87FA4"/>
    <w:rsid w:val="00F9077A"/>
    <w:rsid w:val="00F94336"/>
    <w:rsid w:val="00F95318"/>
    <w:rsid w:val="00F97205"/>
    <w:rsid w:val="00FA059E"/>
    <w:rsid w:val="00FA0CCC"/>
    <w:rsid w:val="00FA133C"/>
    <w:rsid w:val="00FA3EAD"/>
    <w:rsid w:val="00FB556E"/>
    <w:rsid w:val="00FB66DF"/>
    <w:rsid w:val="00FB7F3A"/>
    <w:rsid w:val="00FC2EAE"/>
    <w:rsid w:val="00FC5104"/>
    <w:rsid w:val="00FC7028"/>
    <w:rsid w:val="00FE0422"/>
    <w:rsid w:val="00FE0783"/>
    <w:rsid w:val="00FE1A5D"/>
    <w:rsid w:val="00FE42D3"/>
    <w:rsid w:val="00FE461B"/>
    <w:rsid w:val="00FF11D6"/>
    <w:rsid w:val="00FF763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80DF92C-0F36-4ADE-AB08-81BD6438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55A94"/>
    <w:rPr>
      <w:lang w:val="en-GB" w:eastAsia="en-GB"/>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semiHidden/>
  </w:style>
  <w:style w:type="paragraph" w:styleId="llb">
    <w:name w:val="footer"/>
    <w:basedOn w:val="Norml"/>
    <w:rsid w:val="00F55A94"/>
    <w:pPr>
      <w:tabs>
        <w:tab w:val="center" w:pos="4153"/>
        <w:tab w:val="right" w:pos="8306"/>
      </w:tabs>
    </w:pPr>
    <w:rPr>
      <w:sz w:val="24"/>
    </w:rPr>
  </w:style>
  <w:style w:type="character" w:styleId="Oldalszm">
    <w:name w:val="page number"/>
    <w:basedOn w:val="Bekezdsalapbettpusa"/>
    <w:rsid w:val="00F55A94"/>
  </w:style>
  <w:style w:type="paragraph" w:styleId="lfej">
    <w:name w:val="header"/>
    <w:basedOn w:val="Norml"/>
    <w:link w:val="lfejChar"/>
    <w:rsid w:val="00684D74"/>
    <w:pPr>
      <w:tabs>
        <w:tab w:val="center" w:pos="4536"/>
        <w:tab w:val="right" w:pos="9072"/>
      </w:tabs>
    </w:pPr>
  </w:style>
  <w:style w:type="character" w:customStyle="1" w:styleId="lfejChar">
    <w:name w:val="Élőfej Char"/>
    <w:basedOn w:val="Bekezdsalapbettpusa"/>
    <w:link w:val="lfej"/>
    <w:rsid w:val="00684D74"/>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4431</Words>
  <Characters>30580</Characters>
  <Application>Microsoft Office Word</Application>
  <DocSecurity>0</DocSecurity>
  <Lines>254</Lines>
  <Paragraphs>69</Paragraphs>
  <ScaleCrop>false</ScaleCrop>
  <HeadingPairs>
    <vt:vector size="4" baseType="variant">
      <vt:variant>
        <vt:lpstr>Cím</vt:lpstr>
      </vt:variant>
      <vt:variant>
        <vt:i4>1</vt:i4>
      </vt:variant>
      <vt:variant>
        <vt:lpstr>Název</vt:lpstr>
      </vt:variant>
      <vt:variant>
        <vt:i4>1</vt:i4>
      </vt:variant>
    </vt:vector>
  </HeadingPairs>
  <TitlesOfParts>
    <vt:vector size="2" baseType="lpstr">
      <vt:lpstr>Az Európai Unió egyik figyelemre méltó találmánya az elmúlt fél évszázad során egy hatalmas, határok nélküli térség létrehozása volt, amelyben az emberek úgy mozoghatnak, hogy nem akadályozzák őket határellenőrzések</vt:lpstr>
      <vt:lpstr>Az Európai Unió egyik figyelemre méltó találmánya az elmúlt fél évszázad során egy hatalmas, határok nélküli térség létrehozása volt, amelyben az emberek úgy mozoghatnak, hogy nem akadályozzák őket határellenőrzések</vt:lpstr>
    </vt:vector>
  </TitlesOfParts>
  <Company/>
  <LinksUpToDate>false</LinksUpToDate>
  <CharactersWithSpaces>34942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 Európai Unió egyik figyelemre méltó találmánya az elmúlt fél évszázad során egy hatalmas, határok nélküli térség létrehozása volt, amelyben az emberek úgy mozoghatnak, hogy nem akadályozzák őket határellenőrzések</dc:title>
  <dc:subject/>
  <dc:creator>Csilla</dc:creator>
  <cp:keywords/>
  <dc:description/>
  <cp:lastModifiedBy>Eva</cp:lastModifiedBy>
  <cp:revision>3</cp:revision>
  <dcterms:created xsi:type="dcterms:W3CDTF">2017-12-10T15:00:00Z</dcterms:created>
  <dcterms:modified xsi:type="dcterms:W3CDTF">2017-12-10T15:00:00Z</dcterms:modified>
</cp:coreProperties>
</file>