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FF" w:rsidRDefault="0089098A" w:rsidP="007B1CB2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B1CB2">
        <w:rPr>
          <w:rFonts w:ascii="Times New Roman" w:hAnsi="Times New Roman" w:cs="Times New Roman"/>
          <w:sz w:val="24"/>
        </w:rPr>
        <w:t xml:space="preserve">Az Európai Bizottság prioritásai: 2019-2024 Ötévente, az Európai Bizottság minden ciklusa kezdetén meghatározza az elnök, mely területeket kezeli majd a bizottság prioritásként, ezekre koncentrálva tevékenységét. A 2019. évi európai parlamenti választásokat követően – az Európai Tanácstól és az Európai Parlamenttől kapott megbízatás birtokában – az Ursula von der Leyen által vezetett Bizottság nagy ívű célokat tűzött ki fogalmazott meg Európa számára. A Bizottság azt szeretné elérni, hogy: Európa 2050-re váljon klímasemleges kontinenssé; a 2020-tól 2030-ig legyen Európa digitális évtizede; az EU szerepe – a geopolitikai szempontok fokozott érvényre jutása révén – erősödjön a világban. A Bizottság hat prioritása (2019-2024) Európai zöld megállapodás Új növekedési stratégiára van szükség annak érdekében, hogy az Európai Unió korszerű, karbonsemleges, erőforrás-hatékony, versenyképes és fenntartható gazdasággá váljon. Az éghajlatváltozás károsodása egzisztenciális Európa és az egész világ számára. E problémák kezelése érdekében az európai megállapodás az EU gazdaságát modern, erőforrás-hatékony és versenyképes gazdasággá fogja átalakítani. Biztosítani fogja, hogy: az üvegházhatású gázok kibocsátásának teljes mértéke 2050-re nettó nullára csökkenjen; a gazdaság növekedése legyen független az erőforrás-felhasználástól; az átalakulásnak se egyének, se térségek ne legyenek vesztesei. A 78 éves uniós költségvetés és a NextGeneration EU eszköz révén rendelkezésre álló, összesen 1,8 billió (ezermilliárd) eurót kitevő pénzösszeg egyharmada az európai zöld célkitűzéseinek finanszírozására szolgál. Az európai zöld megállapodás a koronavírus-válságból is kiutat mutat. A Bizottság sürgős beavatkozást szeretne az európai energiapiacokon a bekövetkezett drámai áremelkedések kezelése érdekében. Az Unióban érezteti a hatását, hogy hatalmas mértékben megbillent az energiakereslet és -kínálat közötti egyensúly, amely nagyrészt annak tudható be, hogy az Oroszország továbbra is fegyverként használja az energiaforrásait. A Bizottság az európai háztartásokra és a vállalkozásokra fokozott nyomás nehezedő enyhítése érdekében egy lépéssel tovább megy, és rendkívüli intézkedéseket javasol a villamosenergia-kereslet mérséklésére, melyek csökkenhetnek a fogyasztókra háruló energiaköltségek. Ráadásul javaslatot tesz arra vonatkozóan is, hogy lehetne miképpen az energiaágazat többletbevételeit a végső fogyasztók javára felhasználni. Mindez a gáztározók fel töltésére és a gázkereslet csökkentésére vonatkozót, a közelgő télre való felkészülés jegyében már a korábban is elfogadott intézkedésekhez kapcsolódik. A Bizottság emellett folytatja a szereplők likviditásának javítására, a gázárak mérséklésére és a villamosenergia-piac szerkezetének hosszú távú reformjára irányuló munkáját. A csökkentés nagy hatással lehet a villamosenergia-árakra, és álltalános költségmérséklést válthat ki a piacon. Azon órák esetében, amikor az energiafogyasztás a legdrágább és a gáztüzelésen alapuló villamosenergia-termelés erőteljesen kihat az árra, a Bizottság azt javasolja, hogy egy 5%-os kötelező csökkentés lépjen életbe bizonyos </w:t>
      </w:r>
      <w:r w:rsidRPr="007B1CB2">
        <w:rPr>
          <w:rFonts w:ascii="Times New Roman" w:hAnsi="Times New Roman" w:cs="Times New Roman"/>
          <w:sz w:val="24"/>
        </w:rPr>
        <w:lastRenderedPageBreak/>
        <w:t xml:space="preserve">csúcsidőszakokban. A magas árakra adott első válasz: a kereslet csökkentése. A tagállamoknak meg kell majd határozniuk az órák 10%-át, amikor az energia ára várhatóan a leg magasabb, és e csúcsidők alatt csökkenteniük kell a keresletet. A Bizottság javaslata arra is kiterjed, hogy a tagállamok 2023. március 31-ig legalább 10%-kal csökkentsék villamosenergia-keresetüket. A megfelelő keresletcsökkentő intézkedések tervezhetők lesznek, és pénzügyi ellentételezést is magukban foglalhatnak. A csúcsszakos kereslet csökkentése 1,2 köbméterrel kevesebb gázfogyasztást eredményezhet az év egészére nézve. Az energiahatékonyság növelése szintén kulcsfontosságú az európai zöld megállapodás keretében tett éghajlat-politikai kötelezettségvállalásaink teljesítésében. A Bizottság az „inframarginális” energia-termelők, mégpedig az alacsonyabb költségű technológiákat alkalmazó termelők kiadásának ideiglenes korlátozására is javaslatot tesz. Idetartoznak pl. a megújuló energiaforrásokat, a nukleáris energiát és a barna lignitet használó termelők, amelyek drágább árszint alatti áron táplálnak villamos energiát a hálózatba a „marginális” termelők által meghatározott. Ezek az inframarginális termelők bevételekre tettek szert nagyjából stabil működési költségek mellett, mivel a drága gázerőművek megnövelték a nekik nyújtott nagykereskedelmi villamosenergia-árat. A Bizottság egy 180 EUR/MWh felső határ megállapítását javasolta az inframarginális bevételre. Ily módon a termelők tudják fedezni beruházási és működési költségeiket anélkül, hogy vissza kellene vágniuk a 2030-ra, ill. 2050-re kitűzött energia- és éghajlat-politikai célokkal összhangban szükséges új kapacitás beruházásokat. A bevételek e felső határon felüli részével a tagállami kormányok gazdálkodhatnának, és a fogyasztói energiaköltségek csökkentésére azt fordíthatnák. A Bizottság arra ösztönzi a tagállamokat, hogy a szolidaritás jegyében kössenek kétoldalú energiakereskedelmi megállapodásokat; és a termelő állam által beszedett inframarginális bevételek nagy részét írják jóvá az alacsony villamosenergia- termeléssel felhasználói tagállam rendelkező végső javára. Egy tagállamnak akkor kötelező ilyen megállapodást kötnie 2021. december 1-jéig, ha nettó villamosenergia-behozatalának minimum 100%-a egy-két szomszédos országból származik. Harmadszor, a Bizottság javastlatot tesz egy ideiglenes szolidaritási hozzájárulásra is az olaj-, gáz-, szén- és finomítói ágazatokban végzett tevékenységekből keletkező olyan többletnyereség után, amelyre nem terjed ki az inframarginális bevételi korlát. Ez a hónapokra korlátozott időre szóló hozzájárulás nem akadályozná a zöld átállásra irányuló beruházási ösztönzők érvényesülését. A hozzájárulást a tagállamok azokra a 2022. évi nyereségekre szednék be, melyek az előző kilenc évben elért átlagos nyereséget húsz százalék feletti mértékben haladják meg. A bevételeket a tagállamok szednék be, és juttatásként átirányítanák az energia fogyasztókhoz, különösen a kiszolgáltatott helyzetben lévő háztartásokhoz, a súlyosan érintett vállalatokhoz és az energiaigényes </w:t>
      </w:r>
      <w:r w:rsidRPr="007B1CB2">
        <w:rPr>
          <w:rFonts w:ascii="Times New Roman" w:hAnsi="Times New Roman" w:cs="Times New Roman"/>
          <w:sz w:val="24"/>
        </w:rPr>
        <w:lastRenderedPageBreak/>
        <w:t xml:space="preserve">iparágakhoz. A tagállamok a REPowerEU célkitűzéseivel összhangban határokon átnyúló projekteket is finanszírozhatnak, vagy a bevételek egy részét a foglalkoztatást védő vagy a megújuló energiaforrásokba és az energiahatékonyságba történő beruházások előmozdítását célzó intézkedések finanszírozására fordíthatják. A villamosenergia-piaci szabályozás terén javasolt beavatkozás keretében a Bizottság azt is javasolja, hogy bővítsék a rendelkezésre álló energiaár-eszköztárat a fogyasztók támogatása érdekében. A javaslat első alkalommal tenné lehetővé költségszint alatti, szabályos villamosenergia-árakat, és a szabályozott árakat a kis- és középvállalkozásokra is kiterjesztené. Amint azt Ursula von der Leyen, a Bizottság elnöke szeptember 17-én, szerdán bejelentette, a Bizottság más eszközökkel is törekedni fog arra, hogy csökkentse a fogyasztókat és az ipart terhelő árakat, és enyhítse a piacra nehezedő nyomást. A Bizottság el fogja mélyíteni a tag államokkal valló eszmecserét a gázárak csökkentésének módjairól, megvizsgálva az árplafonokhoz kapcsolódó ötleteket, valamint fokozott szerepet szánva az uniós energiabeszerzési platformnak abban, hogy önkéntes közös beszerzés révén elősegítse a beszállítókkal kötött ármegállapodásokat. A Bizottság emellett folytatja olyan tényezők kidolgozását, amelyekkel növelhető a likviditás az energetikai közszolgáltatások piacán, és az állami támogatásokra vonatkozó ideiglenes válságkeretet, hogy az egyenlő verseny feltételek biztosítása mellett garantálni tudja a tagállamok számára, hogy szükséges és arányos támogatást nyújtsanak a gazdaságnak. Az Energiaügyi Tanács szeptember 9-i havi rendkívüli ülésén a tagállamok energiaügyi miniszterei jóváhagyták a Bizottság e területeken folyó tevékenységeit. A Bizottság az elmúlt évben folyamatosan foglalkozott az energiaárak kérdésével, és a nemzeti szinten számos intézkedést vezettek be. </w:t>
      </w:r>
    </w:p>
    <w:p w:rsidR="004F03FF" w:rsidRDefault="004F03FF" w:rsidP="007B1CB2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4F03FF" w:rsidRDefault="004F03FF" w:rsidP="007B1CB2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16F30" w:rsidRPr="007B1CB2" w:rsidRDefault="0089098A" w:rsidP="007B1CB2">
      <w:pPr>
        <w:spacing w:after="0"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B1CB2">
        <w:rPr>
          <w:rFonts w:ascii="Times New Roman" w:hAnsi="Times New Roman" w:cs="Times New Roman"/>
          <w:sz w:val="24"/>
        </w:rPr>
        <w:t xml:space="preserve">forrás: https://ec.europa.eu/info/strategy/priorities-2019-2024_hu </w:t>
      </w:r>
    </w:p>
    <w:sectPr w:rsidR="00316F30" w:rsidRPr="007B1CB2" w:rsidSect="007B1CB2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89098A"/>
    <w:rsid w:val="00316F30"/>
    <w:rsid w:val="00357145"/>
    <w:rsid w:val="004F03FF"/>
    <w:rsid w:val="007B1CB2"/>
    <w:rsid w:val="0089098A"/>
    <w:rsid w:val="00CC6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C68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tanulo</dc:creator>
  <cp:lastModifiedBy>Your-Computer</cp:lastModifiedBy>
  <cp:revision>2</cp:revision>
  <dcterms:created xsi:type="dcterms:W3CDTF">2022-10-19T05:04:00Z</dcterms:created>
  <dcterms:modified xsi:type="dcterms:W3CDTF">2022-10-19T05:04:00Z</dcterms:modified>
</cp:coreProperties>
</file>